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2766" w14:textId="524CE058" w:rsidR="00A658BB" w:rsidRPr="00A31114" w:rsidRDefault="003C0584" w:rsidP="00B40C58">
      <w:pPr>
        <w:tabs>
          <w:tab w:val="left" w:pos="709"/>
          <w:tab w:val="left" w:pos="851"/>
          <w:tab w:val="left" w:pos="993"/>
        </w:tabs>
        <w:spacing w:after="0" w:line="360" w:lineRule="auto"/>
        <w:ind w:firstLine="567"/>
        <w:jc w:val="center"/>
        <w:rPr>
          <w:rFonts w:ascii="GHEA Grapalat" w:eastAsia="Times New Roman" w:hAnsi="GHEA Grapalat" w:cs="Calibri"/>
          <w:b/>
          <w:color w:val="000000"/>
          <w:sz w:val="24"/>
          <w:szCs w:val="24"/>
          <w:lang w:val="hy-AM" w:eastAsia="ru-RU"/>
        </w:rPr>
      </w:pPr>
      <w:bookmarkStart w:id="0" w:name="_Hlk233020205"/>
      <w:r>
        <w:rPr>
          <w:rFonts w:ascii="GHEA Grapalat" w:eastAsia="Times New Roman" w:hAnsi="GHEA Grapalat" w:cs="Calibri"/>
          <w:b/>
          <w:color w:val="000000"/>
          <w:sz w:val="24"/>
          <w:szCs w:val="24"/>
          <w:lang w:val="hy-AM" w:eastAsia="ru-RU"/>
        </w:rPr>
        <w:t xml:space="preserve">  </w:t>
      </w:r>
      <w:r w:rsidR="00A658BB" w:rsidRPr="00A31114">
        <w:rPr>
          <w:rFonts w:ascii="GHEA Grapalat" w:eastAsia="Times New Roman" w:hAnsi="GHEA Grapalat" w:cs="Calibri"/>
          <w:b/>
          <w:color w:val="000000"/>
          <w:sz w:val="24"/>
          <w:szCs w:val="24"/>
          <w:lang w:val="hy-AM" w:eastAsia="ru-RU"/>
        </w:rPr>
        <w:t>ՀԻՄՆԱՎՈՐՈՒՄ</w:t>
      </w:r>
    </w:p>
    <w:p w14:paraId="73B4F589" w14:textId="77777777" w:rsidR="007C2F93" w:rsidRPr="00A31114" w:rsidRDefault="007C2F93" w:rsidP="00B40C58">
      <w:pPr>
        <w:tabs>
          <w:tab w:val="left" w:pos="709"/>
          <w:tab w:val="left" w:pos="851"/>
          <w:tab w:val="left" w:pos="993"/>
        </w:tabs>
        <w:spacing w:after="0" w:line="360" w:lineRule="auto"/>
        <w:ind w:firstLine="567"/>
        <w:jc w:val="center"/>
        <w:rPr>
          <w:rFonts w:ascii="GHEA Grapalat" w:eastAsia="Times New Roman" w:hAnsi="GHEA Grapalat" w:cs="Calibri"/>
          <w:b/>
          <w:color w:val="000000"/>
          <w:sz w:val="21"/>
          <w:szCs w:val="21"/>
          <w:lang w:val="hy-AM" w:eastAsia="ru-RU"/>
        </w:rPr>
      </w:pPr>
    </w:p>
    <w:p w14:paraId="5F01BF73" w14:textId="0966301C" w:rsidR="00B171CF" w:rsidRPr="00A31114" w:rsidRDefault="000C4152" w:rsidP="009C47FA">
      <w:pPr>
        <w:spacing w:after="0" w:line="360" w:lineRule="auto"/>
        <w:ind w:firstLine="567"/>
        <w:jc w:val="center"/>
        <w:rPr>
          <w:rFonts w:ascii="GHEA Grapalat" w:hAnsi="GHEA Grapalat" w:cs="Sylfaen"/>
          <w:b/>
          <w:sz w:val="24"/>
          <w:szCs w:val="24"/>
          <w:lang w:val="hy-AM"/>
        </w:rPr>
      </w:pPr>
      <w:bookmarkStart w:id="1" w:name="_Hlk230170297"/>
      <w:bookmarkStart w:id="2" w:name="_Hlk233019513"/>
      <w:r>
        <w:rPr>
          <w:rFonts w:ascii="GHEA Grapalat" w:eastAsia="GHEA Grapalat" w:hAnsi="GHEA Grapalat" w:cs="GHEA Grapalat"/>
          <w:b/>
          <w:sz w:val="24"/>
          <w:szCs w:val="24"/>
          <w:lang w:val="hy-AM"/>
        </w:rPr>
        <w:t>«</w:t>
      </w:r>
      <w:r w:rsidR="00A51552" w:rsidRPr="00A31114">
        <w:rPr>
          <w:rFonts w:ascii="GHEA Grapalat" w:eastAsia="GHEA Grapalat" w:hAnsi="GHEA Grapalat" w:cs="GHEA Grapalat"/>
          <w:b/>
          <w:sz w:val="24"/>
          <w:szCs w:val="24"/>
          <w:lang w:val="hy-AM"/>
        </w:rPr>
        <w:t>«ՀԱՅԱՍՏԱՆԻ ԷԼԵԿՏՐԱԿԱՆ ՑԱՆՑԵՐ» ՓԱԿ ԲԱԺՆԵՏԻՐԱԿԱՆ ԸՆԿԵՐՈՒԹՅԱՆ 100</w:t>
      </w:r>
      <w:r w:rsidR="000656F0">
        <w:rPr>
          <w:rFonts w:ascii="GHEA Grapalat" w:eastAsia="GHEA Grapalat" w:hAnsi="GHEA Grapalat" w:cs="GHEA Grapalat"/>
          <w:b/>
          <w:sz w:val="24"/>
          <w:szCs w:val="24"/>
          <w:lang w:val="hy-AM"/>
        </w:rPr>
        <w:t xml:space="preserve"> </w:t>
      </w:r>
      <w:r w:rsidR="003C0584">
        <w:rPr>
          <w:rFonts w:ascii="GHEA Grapalat" w:eastAsia="GHEA Grapalat" w:hAnsi="GHEA Grapalat" w:cs="GHEA Grapalat"/>
          <w:b/>
          <w:sz w:val="24"/>
          <w:szCs w:val="24"/>
          <w:lang w:val="hy-AM"/>
        </w:rPr>
        <w:t xml:space="preserve">ՏՈԿՈՍ </w:t>
      </w:r>
      <w:r w:rsidR="00A51552" w:rsidRPr="00A31114">
        <w:rPr>
          <w:rFonts w:ascii="GHEA Grapalat" w:eastAsia="GHEA Grapalat" w:hAnsi="GHEA Grapalat" w:cs="GHEA Grapalat"/>
          <w:b/>
          <w:sz w:val="24"/>
          <w:szCs w:val="24"/>
          <w:lang w:val="hy-AM"/>
        </w:rPr>
        <w:t xml:space="preserve">ԲԱԺՆԵՏՈՄՍԵՐԻ ՆԿԱՏՄԱՄԲ ՀԱՆՐՈՒԹՅԱՆ ԳԵՐԱԿԱ ՇԱՀ ՃԱՆԱՉԵԼՈՒ </w:t>
      </w:r>
      <w:bookmarkEnd w:id="1"/>
      <w:r w:rsidR="00A51552" w:rsidRPr="00A31114">
        <w:rPr>
          <w:rFonts w:ascii="GHEA Grapalat" w:eastAsia="GHEA Grapalat" w:hAnsi="GHEA Grapalat" w:cs="GHEA Grapalat"/>
          <w:b/>
          <w:sz w:val="24"/>
          <w:szCs w:val="24"/>
          <w:lang w:val="hy-AM"/>
        </w:rPr>
        <w:t>ՄԱՍԻՆ</w:t>
      </w:r>
      <w:r>
        <w:rPr>
          <w:rFonts w:ascii="GHEA Grapalat" w:eastAsia="GHEA Grapalat" w:hAnsi="GHEA Grapalat" w:cs="GHEA Grapalat"/>
          <w:b/>
          <w:sz w:val="24"/>
          <w:szCs w:val="24"/>
          <w:lang w:val="hy-AM"/>
        </w:rPr>
        <w:t>»</w:t>
      </w:r>
      <w:r w:rsidR="00B725A3" w:rsidRPr="00A31114">
        <w:rPr>
          <w:rFonts w:ascii="GHEA Grapalat" w:eastAsia="GHEA Grapalat" w:hAnsi="GHEA Grapalat" w:cs="GHEA Grapalat"/>
          <w:b/>
          <w:sz w:val="24"/>
          <w:szCs w:val="24"/>
          <w:lang w:val="hy-AM"/>
        </w:rPr>
        <w:t xml:space="preserve"> </w:t>
      </w:r>
      <w:bookmarkEnd w:id="2"/>
      <w:r w:rsidR="00014D22" w:rsidRPr="00A31114">
        <w:rPr>
          <w:rFonts w:ascii="GHEA Grapalat" w:hAnsi="GHEA Grapalat"/>
          <w:b/>
          <w:sz w:val="24"/>
          <w:szCs w:val="24"/>
          <w:lang w:val="hy-AM"/>
        </w:rPr>
        <w:t>ԿԱՌԱՎԱՐՈՒԹՅԱՆ ՈՐՈՇՄԱՆ</w:t>
      </w:r>
      <w:r w:rsidR="00B171CF" w:rsidRPr="00A31114">
        <w:rPr>
          <w:rFonts w:ascii="GHEA Grapalat" w:hAnsi="GHEA Grapalat" w:cs="Sylfaen"/>
          <w:b/>
          <w:sz w:val="24"/>
          <w:szCs w:val="24"/>
          <w:lang w:val="hy-AM"/>
        </w:rPr>
        <w:t xml:space="preserve"> ԸՆԴՈՒՆՄԱՆ</w:t>
      </w:r>
    </w:p>
    <w:p w14:paraId="530042F0" w14:textId="77777777" w:rsidR="00B171CF" w:rsidRPr="00A31114" w:rsidRDefault="00B171CF" w:rsidP="00B40C58">
      <w:pPr>
        <w:tabs>
          <w:tab w:val="left" w:pos="709"/>
          <w:tab w:val="left" w:pos="851"/>
          <w:tab w:val="left" w:pos="993"/>
        </w:tabs>
        <w:spacing w:after="0" w:line="360" w:lineRule="auto"/>
        <w:ind w:firstLine="567"/>
        <w:jc w:val="center"/>
        <w:rPr>
          <w:rFonts w:ascii="GHEA Grapalat" w:hAnsi="GHEA Grapalat" w:cs="Sylfaen"/>
          <w:b/>
          <w:sz w:val="24"/>
          <w:szCs w:val="24"/>
          <w:lang w:val="hy-AM"/>
        </w:rPr>
      </w:pPr>
    </w:p>
    <w:p w14:paraId="56179871" w14:textId="3D103B2B" w:rsidR="00A658BB" w:rsidRPr="00A31114" w:rsidRDefault="00A658BB" w:rsidP="00B40C58">
      <w:pPr>
        <w:numPr>
          <w:ilvl w:val="0"/>
          <w:numId w:val="1"/>
        </w:numPr>
        <w:pBdr>
          <w:top w:val="nil"/>
          <w:left w:val="nil"/>
          <w:bottom w:val="nil"/>
          <w:right w:val="nil"/>
          <w:between w:val="nil"/>
        </w:pBdr>
        <w:tabs>
          <w:tab w:val="left" w:pos="709"/>
          <w:tab w:val="left" w:pos="851"/>
          <w:tab w:val="left" w:pos="993"/>
        </w:tabs>
        <w:spacing w:after="0" w:line="360" w:lineRule="auto"/>
        <w:ind w:left="0" w:firstLine="567"/>
        <w:jc w:val="both"/>
        <w:rPr>
          <w:rFonts w:ascii="GHEA Grapalat" w:eastAsia="Times New Roman" w:hAnsi="GHEA Grapalat" w:cs="Calibri"/>
          <w:b/>
          <w:color w:val="000000"/>
          <w:sz w:val="24"/>
          <w:szCs w:val="24"/>
          <w:lang w:val="hy-AM" w:eastAsia="ru-RU"/>
        </w:rPr>
      </w:pPr>
      <w:r w:rsidRPr="00A31114">
        <w:rPr>
          <w:rFonts w:ascii="GHEA Grapalat" w:eastAsia="Times New Roman" w:hAnsi="GHEA Grapalat" w:cs="Calibri"/>
          <w:b/>
          <w:color w:val="000000"/>
          <w:sz w:val="24"/>
          <w:szCs w:val="24"/>
          <w:lang w:val="hy-AM" w:eastAsia="ru-RU"/>
        </w:rPr>
        <w:t>Ընթացիկ իրավիճակը և իրավական ակտի ընդունման անհրաժեշտությունը.</w:t>
      </w:r>
    </w:p>
    <w:p w14:paraId="1D315FDF" w14:textId="3C2BF0D0" w:rsidR="00A51552" w:rsidRPr="00A31114" w:rsidRDefault="00D27677"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D27677">
        <w:rPr>
          <w:rFonts w:ascii="GHEA Grapalat" w:eastAsia="GHEA Grapalat" w:hAnsi="GHEA Grapalat" w:cs="GHEA Grapalat"/>
          <w:bCs/>
          <w:sz w:val="24"/>
          <w:szCs w:val="24"/>
          <w:lang w:val="hy-AM"/>
        </w:rPr>
        <w:t>«</w:t>
      </w:r>
      <w:r w:rsidR="0076750C">
        <w:rPr>
          <w:rFonts w:ascii="GHEA Grapalat" w:eastAsia="GHEA Grapalat" w:hAnsi="GHEA Grapalat" w:cs="GHEA Grapalat"/>
          <w:bCs/>
          <w:sz w:val="24"/>
          <w:szCs w:val="24"/>
          <w:lang w:val="hy-AM"/>
        </w:rPr>
        <w:t>Հ</w:t>
      </w:r>
      <w:r w:rsidRPr="00D27677">
        <w:rPr>
          <w:rFonts w:ascii="GHEA Grapalat" w:eastAsia="GHEA Grapalat" w:hAnsi="GHEA Grapalat" w:cs="GHEA Grapalat"/>
          <w:bCs/>
          <w:sz w:val="24"/>
          <w:szCs w:val="24"/>
          <w:lang w:val="hy-AM"/>
        </w:rPr>
        <w:t>այաստանի էլեկտրական ցանցեր» փակ բաժնետիրական ընկերությ</w:t>
      </w:r>
      <w:r>
        <w:rPr>
          <w:rFonts w:ascii="GHEA Grapalat" w:eastAsia="GHEA Grapalat" w:hAnsi="GHEA Grapalat" w:cs="GHEA Grapalat"/>
          <w:bCs/>
          <w:sz w:val="24"/>
          <w:szCs w:val="24"/>
          <w:lang w:val="hy-AM"/>
        </w:rPr>
        <w:t>ունը</w:t>
      </w:r>
      <w:r w:rsidR="00E01409">
        <w:rPr>
          <w:rFonts w:ascii="GHEA Grapalat" w:eastAsia="GHEA Grapalat" w:hAnsi="GHEA Grapalat" w:cs="GHEA Grapalat"/>
          <w:bCs/>
          <w:sz w:val="24"/>
          <w:szCs w:val="24"/>
          <w:lang w:val="hy-AM"/>
        </w:rPr>
        <w:t xml:space="preserve"> </w:t>
      </w:r>
      <w:r w:rsidRPr="00D27677">
        <w:rPr>
          <w:rFonts w:ascii="GHEA Grapalat" w:eastAsia="GHEA Grapalat" w:hAnsi="GHEA Grapalat" w:cs="GHEA Grapalat"/>
          <w:bCs/>
          <w:sz w:val="24"/>
          <w:szCs w:val="24"/>
          <w:lang w:val="hy-AM"/>
        </w:rPr>
        <w:t>(</w:t>
      </w:r>
      <w:r w:rsidR="009C778C">
        <w:rPr>
          <w:rFonts w:ascii="GHEA Grapalat" w:eastAsia="GHEA Grapalat" w:hAnsi="GHEA Grapalat" w:cs="GHEA Grapalat"/>
          <w:bCs/>
          <w:sz w:val="24"/>
          <w:szCs w:val="24"/>
          <w:lang w:val="hy-AM"/>
        </w:rPr>
        <w:t>այսուհետ՝ ՀԷՑ</w:t>
      </w:r>
      <w:r w:rsidRPr="00D27677">
        <w:rPr>
          <w:rFonts w:ascii="GHEA Grapalat" w:eastAsia="GHEA Grapalat" w:hAnsi="GHEA Grapalat" w:cs="GHEA Grapalat"/>
          <w:bCs/>
          <w:sz w:val="24"/>
          <w:szCs w:val="24"/>
          <w:lang w:val="hy-AM"/>
        </w:rPr>
        <w:t>)</w:t>
      </w:r>
      <w:r w:rsidRPr="00A31114">
        <w:rPr>
          <w:rFonts w:ascii="GHEA Grapalat" w:eastAsia="GHEA Grapalat" w:hAnsi="GHEA Grapalat" w:cs="GHEA Grapalat"/>
          <w:b/>
          <w:sz w:val="24"/>
          <w:szCs w:val="24"/>
          <w:lang w:val="hy-AM"/>
        </w:rPr>
        <w:t xml:space="preserve"> </w:t>
      </w:r>
      <w:r w:rsidR="00A51552" w:rsidRPr="00A31114">
        <w:rPr>
          <w:rFonts w:ascii="GHEA Grapalat" w:eastAsia="Times New Roman" w:hAnsi="GHEA Grapalat" w:cs="Calibri"/>
          <w:bCs/>
          <w:color w:val="000000"/>
          <w:sz w:val="24"/>
          <w:szCs w:val="24"/>
          <w:lang w:val="hy-AM" w:eastAsia="ru-RU"/>
        </w:rPr>
        <w:t>Հայաստանի ամբողջ տարածքում իրականացնում է էլեկտրաէներգիայի բաշխում՝ ապահովելով բնակչության, հիվանդանոցների, դպրոցների, ջրամատակարարման համակարգերի, կապի և տնտեսության բնականոն աշխատանքը։ Էլեկտրամատակարարման խափանումը անմիջական ազդեցություն ունի ազգային անվտանգության, առողջապահության և հասարակական կայունության վրա։</w:t>
      </w:r>
    </w:p>
    <w:p w14:paraId="39533BC2" w14:textId="1E45B8DF" w:rsidR="00A51552"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Sylfaen"/>
          <w:bCs/>
          <w:color w:val="000000"/>
          <w:sz w:val="24"/>
          <w:szCs w:val="24"/>
          <w:lang w:val="hy-AM" w:eastAsia="ru-RU"/>
        </w:rPr>
        <w:t>ՀԷՑ</w:t>
      </w:r>
      <w:r w:rsidRPr="00A31114">
        <w:rPr>
          <w:rFonts w:ascii="GHEA Grapalat" w:eastAsia="Times New Roman" w:hAnsi="GHEA Grapalat" w:cs="Calibri"/>
          <w:bCs/>
          <w:color w:val="000000"/>
          <w:sz w:val="24"/>
          <w:szCs w:val="24"/>
          <w:lang w:val="hy-AM" w:eastAsia="ru-RU"/>
        </w:rPr>
        <w:t>-</w:t>
      </w:r>
      <w:r w:rsidRPr="00A31114">
        <w:rPr>
          <w:rFonts w:ascii="GHEA Grapalat" w:eastAsia="Times New Roman" w:hAnsi="GHEA Grapalat" w:cs="Sylfaen"/>
          <w:bCs/>
          <w:color w:val="000000"/>
          <w:sz w:val="24"/>
          <w:szCs w:val="24"/>
          <w:lang w:val="hy-AM" w:eastAsia="ru-RU"/>
        </w:rPr>
        <w:t>ի</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գործունեությունը</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սովորական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մասնավոր</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գործունեություն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չէ</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այլ</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հանրային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նշանակության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ենթակառուցվածքի</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կառավարում</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որը</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ենթակա</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է</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խիստ</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պետական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վերահսկողության։</w:t>
      </w:r>
    </w:p>
    <w:p w14:paraId="067F530C" w14:textId="1A55E7C5" w:rsidR="007F47F0"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eastAsia="Times New Roman" w:hAnsi="GHEA Grapalat" w:cs="Calibri"/>
          <w:bCs/>
          <w:color w:val="000000"/>
          <w:sz w:val="24"/>
          <w:szCs w:val="24"/>
          <w:lang w:val="hy-AM" w:eastAsia="ru-RU"/>
        </w:rPr>
        <w:t>Հ</w:t>
      </w:r>
      <w:r w:rsidR="009C778C">
        <w:rPr>
          <w:rFonts w:ascii="GHEA Grapalat" w:eastAsia="Times New Roman" w:hAnsi="GHEA Grapalat" w:cs="Calibri"/>
          <w:bCs/>
          <w:color w:val="000000"/>
          <w:sz w:val="24"/>
          <w:szCs w:val="24"/>
          <w:lang w:val="hy-AM" w:eastAsia="ru-RU"/>
        </w:rPr>
        <w:t xml:space="preserve">անրային ծառայությունները կարգավորող հանձնաժողովի </w:t>
      </w:r>
      <w:r w:rsidRPr="00A31114">
        <w:rPr>
          <w:rFonts w:ascii="GHEA Grapalat" w:eastAsia="Times New Roman" w:hAnsi="GHEA Grapalat" w:cs="Calibri"/>
          <w:bCs/>
          <w:color w:val="000000"/>
          <w:sz w:val="24"/>
          <w:szCs w:val="24"/>
          <w:lang w:val="hy-AM" w:eastAsia="ru-RU"/>
        </w:rPr>
        <w:t>կողմից լիցենզիայի դադարեց</w:t>
      </w:r>
      <w:r w:rsidR="009216F6">
        <w:rPr>
          <w:rFonts w:ascii="GHEA Grapalat" w:eastAsia="Times New Roman" w:hAnsi="GHEA Grapalat" w:cs="Calibri"/>
          <w:bCs/>
          <w:color w:val="000000"/>
          <w:sz w:val="24"/>
          <w:szCs w:val="24"/>
          <w:lang w:val="hy-AM" w:eastAsia="ru-RU"/>
        </w:rPr>
        <w:t>ումը</w:t>
      </w:r>
      <w:r w:rsidRPr="00A31114">
        <w:rPr>
          <w:rFonts w:ascii="GHEA Grapalat" w:eastAsia="Times New Roman" w:hAnsi="GHEA Grapalat" w:cs="Calibri"/>
          <w:bCs/>
          <w:color w:val="000000"/>
          <w:sz w:val="24"/>
          <w:szCs w:val="24"/>
          <w:lang w:val="hy-AM" w:eastAsia="ru-RU"/>
        </w:rPr>
        <w:t xml:space="preserve"> ցույց է տ</w:t>
      </w:r>
      <w:r w:rsidR="009216F6">
        <w:rPr>
          <w:rFonts w:ascii="GHEA Grapalat" w:eastAsia="Times New Roman" w:hAnsi="GHEA Grapalat" w:cs="Calibri"/>
          <w:bCs/>
          <w:color w:val="000000"/>
          <w:sz w:val="24"/>
          <w:szCs w:val="24"/>
          <w:lang w:val="hy-AM" w:eastAsia="ru-RU"/>
        </w:rPr>
        <w:t>վել</w:t>
      </w:r>
      <w:r w:rsidRPr="00A31114">
        <w:rPr>
          <w:rFonts w:ascii="GHEA Grapalat" w:eastAsia="Times New Roman" w:hAnsi="GHEA Grapalat" w:cs="Calibri"/>
          <w:bCs/>
          <w:color w:val="000000"/>
          <w:sz w:val="24"/>
          <w:szCs w:val="24"/>
          <w:lang w:val="hy-AM" w:eastAsia="ru-RU"/>
        </w:rPr>
        <w:t>, որ պետությունը գնահատել է հնարավոր խախտումները որպես այնպիսիք, որոնք կարող են վնասել հարյուր հազարավոր բաժանորդների շահերը։ Հանրության գերակա շահի սկզբունքը թույլ է տալիս պետությանը միջամտել, երբ վտանգվում է քաղաքացիների անխափան և անվտանգ ծառայություն ստանալու իրավունքը։</w:t>
      </w:r>
      <w:r w:rsidR="007F47F0" w:rsidRPr="007F47F0">
        <w:rPr>
          <w:rFonts w:ascii="GHEA Grapalat" w:hAnsi="GHEA Grapalat" w:cs="Calibri"/>
          <w:sz w:val="24"/>
          <w:szCs w:val="24"/>
          <w:lang w:val="hy-AM"/>
        </w:rPr>
        <w:t xml:space="preserve"> </w:t>
      </w:r>
    </w:p>
    <w:p w14:paraId="098AF968" w14:textId="61CD28C8" w:rsidR="00E15184" w:rsidRDefault="00E15184"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hAnsi="GHEA Grapalat" w:cs="Calibri"/>
          <w:sz w:val="24"/>
          <w:szCs w:val="24"/>
          <w:lang w:val="hy-AM"/>
        </w:rPr>
      </w:pPr>
      <w:r>
        <w:rPr>
          <w:rFonts w:ascii="GHEA Grapalat" w:hAnsi="GHEA Grapalat" w:cs="Calibri"/>
          <w:sz w:val="24"/>
          <w:szCs w:val="24"/>
          <w:lang w:val="hy-AM"/>
        </w:rPr>
        <w:t xml:space="preserve"> </w:t>
      </w:r>
      <w:r>
        <w:rPr>
          <w:rFonts w:ascii="GHEA Grapalat" w:hAnsi="GHEA Grapalat" w:cs="AK Courier"/>
          <w:spacing w:val="-6"/>
          <w:sz w:val="24"/>
          <w:szCs w:val="24"/>
          <w:lang w:val="hy-AM"/>
        </w:rPr>
        <w:t xml:space="preserve">«էներգետիկայի մասին» օրենքի 52-րդ  հոդվածի 3-րդ մասի համաձայն՝ </w:t>
      </w:r>
      <w:r w:rsidR="009216F6">
        <w:rPr>
          <w:rFonts w:ascii="GHEA Grapalat" w:hAnsi="GHEA Grapalat" w:cs="Calibri"/>
          <w:sz w:val="24"/>
          <w:szCs w:val="24"/>
          <w:lang w:val="hy-AM"/>
        </w:rPr>
        <w:t>ե</w:t>
      </w:r>
      <w:r w:rsidRPr="0072307E">
        <w:rPr>
          <w:rFonts w:ascii="GHEA Grapalat" w:hAnsi="GHEA Grapalat" w:cs="Calibri"/>
          <w:sz w:val="24"/>
          <w:szCs w:val="24"/>
          <w:lang w:val="hy-AM"/>
        </w:rPr>
        <w:t xml:space="preserve">թե անձը հրաժարվում է իր գործունեությունը շարունակելուց, </w:t>
      </w:r>
      <w:r w:rsidRPr="00C87302">
        <w:rPr>
          <w:rFonts w:ascii="GHEA Grapalat" w:hAnsi="GHEA Grapalat" w:cs="Calibri"/>
          <w:b/>
          <w:bCs/>
          <w:sz w:val="24"/>
          <w:szCs w:val="24"/>
          <w:lang w:val="hy-AM"/>
        </w:rPr>
        <w:t>կամ նրա լիցենզիայի գործողությունը դադարեցվել է,</w:t>
      </w:r>
      <w:r w:rsidRPr="0072307E">
        <w:rPr>
          <w:rFonts w:ascii="GHEA Grapalat" w:hAnsi="GHEA Grapalat" w:cs="Calibri"/>
          <w:sz w:val="24"/>
          <w:szCs w:val="24"/>
          <w:lang w:val="hy-AM"/>
        </w:rPr>
        <w:t xml:space="preserve"> ապա Հայաստանի Հանրապետության կառավարությունը այդ անձի բաժնետերերին (մասնակիցներին) առաջարկում է իր հետ համաձայնեցված կարգով օտարել այդ ընկերության բաժնետոմսերը (բաժնեմասերը), գույքը կամ լիցենզավորված գործունեությունն ապահովող` իր սեփականությունը հանդիսացող գույքային համալիրը: Սույն մասով սահմանված օտարումը եռամսյա ժամկետում չիրականացվելու դեպքում, </w:t>
      </w:r>
      <w:r w:rsidRPr="0072307E">
        <w:rPr>
          <w:rFonts w:ascii="GHEA Grapalat" w:hAnsi="GHEA Grapalat" w:cs="Calibri"/>
          <w:sz w:val="24"/>
          <w:szCs w:val="24"/>
          <w:lang w:val="hy-AM"/>
        </w:rPr>
        <w:lastRenderedPageBreak/>
        <w:t>որպես</w:t>
      </w:r>
      <w:r w:rsidRPr="0072307E">
        <w:rPr>
          <w:rFonts w:ascii="Calibri" w:hAnsi="Calibri" w:cs="Calibri"/>
          <w:sz w:val="24"/>
          <w:szCs w:val="24"/>
          <w:lang w:val="hy-AM"/>
        </w:rPr>
        <w:t> </w:t>
      </w:r>
      <w:r w:rsidRPr="0072307E">
        <w:rPr>
          <w:rFonts w:ascii="GHEA Grapalat" w:hAnsi="GHEA Grapalat" w:cs="Calibri"/>
          <w:sz w:val="24"/>
          <w:szCs w:val="24"/>
          <w:lang w:val="hy-AM"/>
        </w:rPr>
        <w:t>բացառիկ միջոց, բաժնետոմսերը (բաժնեմասերը), գույքը կամ լիցենզավորված գործունեությունն ապահովող գույքային համալիրը կարող են օտարվել Հայաստանի Հանրապետության Սահմանադրության 60-րդ հոդվածին համապատասխան:</w:t>
      </w:r>
    </w:p>
    <w:p w14:paraId="14CE307A" w14:textId="589BEAAA" w:rsidR="0024522B" w:rsidRDefault="0024522B" w:rsidP="00847B6E">
      <w:pPr>
        <w:pStyle w:val="LO-normal"/>
        <w:spacing w:after="0" w:line="360" w:lineRule="auto"/>
        <w:ind w:firstLine="720"/>
        <w:jc w:val="both"/>
        <w:rPr>
          <w:rFonts w:ascii="GHEA Grapalat" w:eastAsia="GHEA Grapalat" w:hAnsi="GHEA Grapalat" w:cs="GHEA Grapalat"/>
          <w:sz w:val="24"/>
          <w:szCs w:val="24"/>
        </w:rPr>
      </w:pPr>
      <w:r w:rsidRPr="00202E66">
        <w:rPr>
          <w:rFonts w:ascii="GHEA Grapalat" w:hAnsi="GHEA Grapalat" w:cs="AK Courier"/>
          <w:spacing w:val="-6"/>
          <w:sz w:val="24"/>
          <w:szCs w:val="24"/>
          <w:lang w:val="hy-AM"/>
        </w:rPr>
        <w:t>«</w:t>
      </w:r>
      <w:r>
        <w:rPr>
          <w:rFonts w:ascii="GHEA Grapalat" w:hAnsi="GHEA Grapalat" w:cs="AK Courier"/>
          <w:spacing w:val="-6"/>
          <w:sz w:val="24"/>
          <w:szCs w:val="24"/>
          <w:lang w:val="hy-AM"/>
        </w:rPr>
        <w:t>Հայաստանի էլեկտրական ցանցեր</w:t>
      </w:r>
      <w:r w:rsidRPr="00202E66">
        <w:rPr>
          <w:rFonts w:ascii="GHEA Grapalat" w:hAnsi="GHEA Grapalat" w:cs="AK Courier"/>
          <w:spacing w:val="-6"/>
          <w:sz w:val="24"/>
          <w:szCs w:val="24"/>
          <w:lang w:val="hy-AM"/>
        </w:rPr>
        <w:t>»</w:t>
      </w:r>
      <w:r>
        <w:rPr>
          <w:rFonts w:ascii="GHEA Grapalat" w:hAnsi="GHEA Grapalat" w:cs="AK Courier"/>
          <w:spacing w:val="-6"/>
          <w:sz w:val="24"/>
          <w:szCs w:val="24"/>
          <w:lang w:val="hy-AM"/>
        </w:rPr>
        <w:t xml:space="preserve"> փակ բաժնետիրական ընկերության բաժնետոմսերը համաձայնեցված կարգով օտարելու առաջարկը ներկայացվել է դեռևս 17</w:t>
      </w:r>
      <w:r>
        <w:rPr>
          <w:rFonts w:ascii="MS Mincho" w:eastAsia="MS Mincho" w:hAnsi="MS Mincho" w:cs="MS Mincho"/>
          <w:spacing w:val="-6"/>
          <w:sz w:val="24"/>
          <w:szCs w:val="24"/>
          <w:lang w:val="hy-AM"/>
        </w:rPr>
        <w:t>․</w:t>
      </w:r>
      <w:r>
        <w:rPr>
          <w:rFonts w:ascii="GHEA Grapalat" w:hAnsi="GHEA Grapalat" w:cs="AK Courier"/>
          <w:spacing w:val="-6"/>
          <w:sz w:val="24"/>
          <w:szCs w:val="24"/>
          <w:lang w:val="hy-AM"/>
        </w:rPr>
        <w:t>02</w:t>
      </w:r>
      <w:r>
        <w:rPr>
          <w:rFonts w:ascii="MS Mincho" w:eastAsia="MS Mincho" w:hAnsi="MS Mincho" w:cs="MS Mincho"/>
          <w:spacing w:val="-6"/>
          <w:sz w:val="24"/>
          <w:szCs w:val="24"/>
          <w:lang w:val="hy-AM"/>
        </w:rPr>
        <w:t>․</w:t>
      </w:r>
      <w:r>
        <w:rPr>
          <w:rFonts w:ascii="GHEA Grapalat" w:hAnsi="GHEA Grapalat" w:cs="AK Courier"/>
          <w:spacing w:val="-6"/>
          <w:sz w:val="24"/>
          <w:szCs w:val="24"/>
          <w:lang w:val="hy-AM"/>
        </w:rPr>
        <w:t xml:space="preserve">2026 թվականին, որի վերաբերյալ </w:t>
      </w:r>
      <w:r w:rsidRPr="008913A6">
        <w:rPr>
          <w:rFonts w:ascii="GHEA Grapalat" w:hAnsi="GHEA Grapalat" w:cs="Tahoma"/>
          <w:sz w:val="24"/>
          <w:szCs w:val="24"/>
          <w:lang w:val="hy-AM"/>
        </w:rPr>
        <w:t xml:space="preserve">սահմանված ժամկետում </w:t>
      </w:r>
      <w:r>
        <w:rPr>
          <w:rFonts w:ascii="GHEA Grapalat" w:hAnsi="GHEA Grapalat" w:cs="Tahoma"/>
          <w:sz w:val="24"/>
          <w:szCs w:val="24"/>
          <w:lang w:val="hy-AM"/>
        </w:rPr>
        <w:t xml:space="preserve">բաժնետերերի </w:t>
      </w:r>
      <w:r w:rsidRPr="008913A6">
        <w:rPr>
          <w:rFonts w:ascii="GHEA Grapalat" w:hAnsi="GHEA Grapalat" w:cs="Tahoma"/>
          <w:sz w:val="24"/>
          <w:szCs w:val="24"/>
          <w:lang w:val="hy-AM"/>
        </w:rPr>
        <w:t>կողմից արձագանք չի ստացվել</w:t>
      </w:r>
      <w:r w:rsidR="000964ED">
        <w:rPr>
          <w:rFonts w:ascii="GHEA Grapalat" w:hAnsi="GHEA Grapalat" w:cs="Tahoma"/>
          <w:sz w:val="24"/>
          <w:szCs w:val="24"/>
          <w:lang w:val="hy-AM"/>
        </w:rPr>
        <w:t>, առաջարկը ստացվել է</w:t>
      </w:r>
      <w:r w:rsidR="00E25457" w:rsidRPr="00402CFD">
        <w:rPr>
          <w:rFonts w:ascii="GHEA Grapalat" w:eastAsia="GHEA Grapalat" w:hAnsi="GHEA Grapalat" w:cs="GHEA Grapalat"/>
          <w:sz w:val="24"/>
          <w:szCs w:val="24"/>
        </w:rPr>
        <w:t xml:space="preserve"> 22</w:t>
      </w:r>
      <w:r w:rsidR="00E25457" w:rsidRPr="00402CFD">
        <w:rPr>
          <w:rFonts w:ascii="Microsoft JhengHei" w:eastAsia="Microsoft JhengHei" w:hAnsi="Microsoft JhengHei" w:cs="Microsoft JhengHei" w:hint="eastAsia"/>
          <w:sz w:val="24"/>
          <w:szCs w:val="24"/>
        </w:rPr>
        <w:t>․</w:t>
      </w:r>
      <w:r w:rsidR="00E25457" w:rsidRPr="00402CFD">
        <w:rPr>
          <w:rFonts w:ascii="GHEA Grapalat" w:eastAsia="GHEA Grapalat" w:hAnsi="GHEA Grapalat" w:cs="GHEA Grapalat"/>
          <w:sz w:val="24"/>
          <w:szCs w:val="24"/>
        </w:rPr>
        <w:t>05</w:t>
      </w:r>
      <w:r w:rsidR="00E25457" w:rsidRPr="00402CFD">
        <w:rPr>
          <w:rFonts w:ascii="Microsoft JhengHei" w:eastAsia="Microsoft JhengHei" w:hAnsi="Microsoft JhengHei" w:cs="Microsoft JhengHei" w:hint="eastAsia"/>
          <w:sz w:val="24"/>
          <w:szCs w:val="24"/>
        </w:rPr>
        <w:t>․</w:t>
      </w:r>
      <w:r w:rsidR="00E25457" w:rsidRPr="00402CFD">
        <w:rPr>
          <w:rFonts w:ascii="GHEA Grapalat" w:eastAsia="GHEA Grapalat" w:hAnsi="GHEA Grapalat" w:cs="GHEA Grapalat"/>
          <w:sz w:val="24"/>
          <w:szCs w:val="24"/>
        </w:rPr>
        <w:t>2026թ</w:t>
      </w:r>
      <w:r w:rsidR="00E25457" w:rsidRPr="00402CFD">
        <w:rPr>
          <w:rFonts w:ascii="Microsoft JhengHei" w:eastAsia="Microsoft JhengHei" w:hAnsi="Microsoft JhengHei" w:cs="Microsoft JhengHei" w:hint="eastAsia"/>
          <w:sz w:val="24"/>
          <w:szCs w:val="24"/>
        </w:rPr>
        <w:t>․</w:t>
      </w:r>
      <w:r w:rsidR="00E25457" w:rsidRPr="00402CFD">
        <w:rPr>
          <w:rFonts w:ascii="GHEA Grapalat" w:eastAsia="GHEA Grapalat" w:hAnsi="GHEA Grapalat" w:cs="GHEA Grapalat"/>
          <w:sz w:val="24"/>
          <w:szCs w:val="24"/>
        </w:rPr>
        <w:t>-ին։</w:t>
      </w:r>
    </w:p>
    <w:p w14:paraId="7763F642" w14:textId="2573C9C7" w:rsidR="002A4EAC" w:rsidRPr="002A4EAC" w:rsidRDefault="002A4EAC" w:rsidP="00847B6E">
      <w:pPr>
        <w:spacing w:after="0" w:line="360" w:lineRule="auto"/>
        <w:ind w:right="-5" w:firstLine="720"/>
        <w:jc w:val="both"/>
        <w:rPr>
          <w:rFonts w:ascii="GHEA Grapalat" w:eastAsia="Calibri" w:hAnsi="GHEA Grapalat" w:cs="AK Courier"/>
          <w:spacing w:val="-6"/>
          <w:sz w:val="24"/>
          <w:szCs w:val="24"/>
          <w:lang w:val="hy-AM" w:eastAsia="zh-CN" w:bidi="hi-IN"/>
        </w:rPr>
      </w:pPr>
      <w:r w:rsidRPr="002A4EAC">
        <w:rPr>
          <w:rFonts w:ascii="GHEA Grapalat" w:eastAsia="Calibri" w:hAnsi="GHEA Grapalat" w:cs="AK Courier"/>
          <w:spacing w:val="-6"/>
          <w:sz w:val="24"/>
          <w:szCs w:val="24"/>
          <w:lang w:val="hy-AM" w:eastAsia="zh-CN" w:bidi="hi-IN"/>
        </w:rPr>
        <w:t>Հանրային ծառայություններ կարգավորող հանձնաժողովի՝ 2025 թվականին նոյեմբերի 17-ին ընդունված №377-Ա որոշմամբ</w:t>
      </w:r>
      <w:r w:rsidR="00847B6E">
        <w:rPr>
          <w:rFonts w:ascii="GHEA Grapalat" w:eastAsia="Calibri" w:hAnsi="GHEA Grapalat" w:cs="AK Courier"/>
          <w:spacing w:val="-6"/>
          <w:sz w:val="24"/>
          <w:szCs w:val="24"/>
          <w:lang w:val="hy-AM" w:eastAsia="zh-CN" w:bidi="hi-IN"/>
        </w:rPr>
        <w:t xml:space="preserve"> </w:t>
      </w:r>
      <w:r w:rsidRPr="002A4EAC">
        <w:rPr>
          <w:rFonts w:ascii="GHEA Grapalat" w:eastAsia="Calibri" w:hAnsi="GHEA Grapalat" w:cs="AK Courier"/>
          <w:spacing w:val="-6"/>
          <w:sz w:val="24"/>
          <w:szCs w:val="24"/>
          <w:lang w:val="hy-AM" w:eastAsia="zh-CN" w:bidi="hi-IN"/>
        </w:rPr>
        <w:t>դադարեցվել է «Հայաստանի էլեկտրական ցանցեր» փակ բաժնետիրական ընկերության էլեկտրական էներգիայի (հզորության) բաշխման թիվ 0092 լիցենզիայի գոծողությունը՝ լիցենզիան ուժը կորցրած ճանաչելու միջոցով:</w:t>
      </w:r>
    </w:p>
    <w:p w14:paraId="07C3967F" w14:textId="6824F44F" w:rsidR="004E2014" w:rsidRPr="002A4EAC" w:rsidRDefault="004E2014" w:rsidP="00C31A76">
      <w:pPr>
        <w:spacing w:after="0" w:line="360" w:lineRule="auto"/>
        <w:ind w:right="-5" w:firstLine="720"/>
        <w:jc w:val="both"/>
        <w:rPr>
          <w:rFonts w:ascii="GHEA Grapalat" w:eastAsia="Calibri" w:hAnsi="GHEA Grapalat" w:cs="AK Courier"/>
          <w:spacing w:val="-6"/>
          <w:sz w:val="24"/>
          <w:szCs w:val="24"/>
          <w:lang w:val="hy-AM" w:eastAsia="zh-CN" w:bidi="hi-IN"/>
        </w:rPr>
      </w:pPr>
      <w:r w:rsidRPr="002A4EAC">
        <w:rPr>
          <w:rFonts w:ascii="GHEA Grapalat" w:eastAsia="Calibri" w:hAnsi="GHEA Grapalat" w:cs="AK Courier"/>
          <w:spacing w:val="-6"/>
          <w:sz w:val="24"/>
          <w:szCs w:val="24"/>
          <w:lang w:val="hy-AM" w:eastAsia="zh-CN" w:bidi="hi-IN"/>
        </w:rPr>
        <w:t xml:space="preserve">«Տաշիր Կապիտալ» ՓԲ ընկերությունը (այսուհետ՝ նաև Ընկերություն) հայցադիմում է ներկայացրել </w:t>
      </w:r>
      <w:r w:rsidR="00EC4590">
        <w:rPr>
          <w:rFonts w:ascii="GHEA Grapalat" w:eastAsia="Calibri" w:hAnsi="GHEA Grapalat" w:cs="AK Courier"/>
          <w:spacing w:val="-6"/>
          <w:sz w:val="24"/>
          <w:szCs w:val="24"/>
          <w:lang w:val="hy-AM" w:eastAsia="zh-CN" w:bidi="hi-IN"/>
        </w:rPr>
        <w:t xml:space="preserve">Վարչական </w:t>
      </w:r>
      <w:r w:rsidRPr="002A4EAC">
        <w:rPr>
          <w:rFonts w:ascii="GHEA Grapalat" w:eastAsia="Calibri" w:hAnsi="GHEA Grapalat" w:cs="AK Courier"/>
          <w:spacing w:val="-6"/>
          <w:sz w:val="24"/>
          <w:szCs w:val="24"/>
          <w:lang w:val="hy-AM" w:eastAsia="zh-CN" w:bidi="hi-IN"/>
        </w:rPr>
        <w:t xml:space="preserve">Դատարան ընդդեմ ՀՀ հանրային ծառայությունները կարգավորող հանձնաժողովի՝ 17.11.2025 թվականի </w:t>
      </w:r>
      <w:r w:rsidR="00897B44" w:rsidRPr="002A4EAC">
        <w:rPr>
          <w:rFonts w:ascii="GHEA Grapalat" w:eastAsia="Calibri" w:hAnsi="GHEA Grapalat" w:cs="AK Courier"/>
          <w:spacing w:val="-6"/>
          <w:sz w:val="24"/>
          <w:szCs w:val="24"/>
          <w:lang w:val="hy-AM" w:eastAsia="zh-CN" w:bidi="hi-IN"/>
        </w:rPr>
        <w:t xml:space="preserve">№377-Ա </w:t>
      </w:r>
      <w:r w:rsidRPr="002A4EAC">
        <w:rPr>
          <w:rFonts w:ascii="GHEA Grapalat" w:eastAsia="Calibri" w:hAnsi="GHEA Grapalat" w:cs="AK Courier"/>
          <w:spacing w:val="-6"/>
          <w:sz w:val="24"/>
          <w:szCs w:val="24"/>
          <w:lang w:val="hy-AM" w:eastAsia="zh-CN" w:bidi="hi-IN"/>
        </w:rPr>
        <w:t xml:space="preserve">որոշումն անվավեր ճանաչելու, որպես հետևանք՝ Կառավարության կողմից բաժնետիրոջը բաժնետոմսերը գույքը կամ լիցենզավորված գործունեությունն ապահովող` իր սեփականությունը հանդիսացող գույքային համալիրը Կառավարության հետ համաձայնեցված կարգով օտարելու առաջարկություն անելու, այդ օտարումը եռամսյա ժամկետում չիրականացվելու դեպքում, որպես բացառիկ միջոց, բաժնետոմսերը, գույքը կամ լիցենզավորված գործունեությունն ապահովող գույքային համալիրը Հայաստանի Հանրապետության Սահմանադրության 60-րդ հոդվածին համապատասխան օտարվելու իրավահարաբերության բացակայությունը ճանաչելու պահանջի մասին, որը թիվ </w:t>
      </w:r>
      <w:r w:rsidRPr="00EC4590">
        <w:rPr>
          <w:rFonts w:ascii="GHEA Grapalat" w:eastAsia="Calibri" w:hAnsi="GHEA Grapalat" w:cs="AK Courier"/>
          <w:spacing w:val="-6"/>
          <w:sz w:val="24"/>
          <w:szCs w:val="24"/>
          <w:lang w:val="hy-AM" w:eastAsia="zh-CN" w:bidi="hi-IN"/>
        </w:rPr>
        <w:t>ՎԴ/21695/05/25 վարչական</w:t>
      </w:r>
      <w:r w:rsidRPr="002A4EAC">
        <w:rPr>
          <w:rFonts w:ascii="GHEA Grapalat" w:eastAsia="Calibri" w:hAnsi="GHEA Grapalat" w:cs="AK Courier"/>
          <w:spacing w:val="-6"/>
          <w:sz w:val="24"/>
          <w:szCs w:val="24"/>
          <w:lang w:val="hy-AM" w:eastAsia="zh-CN" w:bidi="hi-IN"/>
        </w:rPr>
        <w:t xml:space="preserve"> գործով 27.03.2026թ.-ին կայացված վճռի համաձայն՝ մերժվել է: Սույն գործի շրջանակում Ընկերության կողմից ներկայացված հայցի ապահովման միջոց կիրառելու վերաբերյալ և վարչական ակտի կատարումը կասեցնելու վերաբերյալ միջնորդությունները ևս մերժվել են:</w:t>
      </w:r>
    </w:p>
    <w:p w14:paraId="75713B68" w14:textId="51C28A66" w:rsidR="004E2014" w:rsidRPr="002A4EAC" w:rsidRDefault="004E2014" w:rsidP="00C31A76">
      <w:pPr>
        <w:spacing w:after="0" w:line="360" w:lineRule="auto"/>
        <w:ind w:right="-5" w:firstLine="720"/>
        <w:jc w:val="both"/>
        <w:rPr>
          <w:rFonts w:ascii="GHEA Grapalat" w:eastAsia="Calibri" w:hAnsi="GHEA Grapalat" w:cs="AK Courier"/>
          <w:spacing w:val="-6"/>
          <w:sz w:val="24"/>
          <w:szCs w:val="24"/>
          <w:lang w:val="hy-AM" w:eastAsia="zh-CN" w:bidi="hi-IN"/>
        </w:rPr>
      </w:pPr>
      <w:r w:rsidRPr="002A4EAC">
        <w:rPr>
          <w:rFonts w:ascii="GHEA Grapalat" w:eastAsia="Calibri" w:hAnsi="GHEA Grapalat" w:cs="AK Courier"/>
          <w:spacing w:val="-6"/>
          <w:sz w:val="24"/>
          <w:szCs w:val="24"/>
          <w:lang w:val="hy-AM" w:eastAsia="zh-CN" w:bidi="hi-IN"/>
        </w:rPr>
        <w:t>ՀՀ Տարածքային կառավարման և ենթակառուցվածքների նախարարը, հիմք ընդունելով «Էներգետիկայի մասին» ՀՀ օրենքի 52-րդ հոդվածի 3-րդ մասը, 17</w:t>
      </w:r>
      <w:r w:rsidRPr="002A4EAC">
        <w:rPr>
          <w:rFonts w:ascii="MS Gothic" w:eastAsia="MS Gothic" w:hAnsi="MS Gothic" w:cs="MS Gothic" w:hint="eastAsia"/>
          <w:spacing w:val="-6"/>
          <w:sz w:val="24"/>
          <w:szCs w:val="24"/>
          <w:lang w:val="hy-AM" w:eastAsia="zh-CN" w:bidi="hi-IN"/>
        </w:rPr>
        <w:t>․</w:t>
      </w:r>
      <w:r w:rsidRPr="002A4EAC">
        <w:rPr>
          <w:rFonts w:ascii="GHEA Grapalat" w:eastAsia="Calibri" w:hAnsi="GHEA Grapalat" w:cs="AK Courier"/>
          <w:spacing w:val="-6"/>
          <w:sz w:val="24"/>
          <w:szCs w:val="24"/>
          <w:lang w:val="hy-AM" w:eastAsia="zh-CN" w:bidi="hi-IN"/>
        </w:rPr>
        <w:t>02</w:t>
      </w:r>
      <w:r w:rsidRPr="002A4EAC">
        <w:rPr>
          <w:rFonts w:ascii="MS Gothic" w:eastAsia="MS Gothic" w:hAnsi="MS Gothic" w:cs="MS Gothic" w:hint="eastAsia"/>
          <w:spacing w:val="-6"/>
          <w:sz w:val="24"/>
          <w:szCs w:val="24"/>
          <w:lang w:val="hy-AM" w:eastAsia="zh-CN" w:bidi="hi-IN"/>
        </w:rPr>
        <w:t>․</w:t>
      </w:r>
      <w:r w:rsidRPr="002A4EAC">
        <w:rPr>
          <w:rFonts w:ascii="GHEA Grapalat" w:eastAsia="Calibri" w:hAnsi="GHEA Grapalat" w:cs="AK Courier"/>
          <w:spacing w:val="-6"/>
          <w:sz w:val="24"/>
          <w:szCs w:val="24"/>
          <w:lang w:val="hy-AM" w:eastAsia="zh-CN" w:bidi="hi-IN"/>
        </w:rPr>
        <w:t>2026թ. թիվ ԴԽ/21</w:t>
      </w:r>
      <w:r w:rsidRPr="002A4EAC">
        <w:rPr>
          <w:rFonts w:ascii="MS Gothic" w:eastAsia="MS Gothic" w:hAnsi="MS Gothic" w:cs="MS Gothic" w:hint="eastAsia"/>
          <w:spacing w:val="-6"/>
          <w:sz w:val="24"/>
          <w:szCs w:val="24"/>
          <w:lang w:val="hy-AM" w:eastAsia="zh-CN" w:bidi="hi-IN"/>
        </w:rPr>
        <w:t>․</w:t>
      </w:r>
      <w:r w:rsidRPr="002A4EAC">
        <w:rPr>
          <w:rFonts w:ascii="GHEA Grapalat" w:eastAsia="Calibri" w:hAnsi="GHEA Grapalat" w:cs="AK Courier"/>
          <w:spacing w:val="-6"/>
          <w:sz w:val="24"/>
          <w:szCs w:val="24"/>
          <w:lang w:val="hy-AM" w:eastAsia="zh-CN" w:bidi="hi-IN"/>
        </w:rPr>
        <w:t>1/5614-</w:t>
      </w:r>
      <w:r w:rsidRPr="002A4EAC">
        <w:rPr>
          <w:rFonts w:ascii="GHEA Grapalat" w:eastAsia="Calibri" w:hAnsi="GHEA Grapalat" w:cs="AK Courier"/>
          <w:spacing w:val="-6"/>
          <w:sz w:val="24"/>
          <w:szCs w:val="24"/>
          <w:lang w:val="hy-AM" w:eastAsia="zh-CN" w:bidi="hi-IN"/>
        </w:rPr>
        <w:lastRenderedPageBreak/>
        <w:t xml:space="preserve">2026 գրությամբ Կառավարության անունից Ընկերությանը և «Հայաստանի </w:t>
      </w:r>
      <w:r w:rsidR="00C31A76" w:rsidRPr="002A4EAC">
        <w:rPr>
          <w:rFonts w:ascii="GHEA Grapalat" w:eastAsia="Calibri" w:hAnsi="GHEA Grapalat" w:cs="AK Courier"/>
          <w:spacing w:val="-6"/>
          <w:sz w:val="24"/>
          <w:szCs w:val="24"/>
          <w:lang w:val="hy-AM" w:eastAsia="zh-CN" w:bidi="hi-IN"/>
        </w:rPr>
        <w:t>էլեկտրական ց</w:t>
      </w:r>
      <w:r w:rsidRPr="002A4EAC">
        <w:rPr>
          <w:rFonts w:ascii="GHEA Grapalat" w:eastAsia="Calibri" w:hAnsi="GHEA Grapalat" w:cs="AK Courier"/>
          <w:spacing w:val="-6"/>
          <w:sz w:val="24"/>
          <w:szCs w:val="24"/>
          <w:lang w:val="hy-AM" w:eastAsia="zh-CN" w:bidi="hi-IN"/>
        </w:rPr>
        <w:t>անցեր» ՓԲԸ մյուս բաժնետիրոջը՝ «Լիորմանդ Հոլդինգզ Լիմիթեդ» Ընկերությանը, առաջարկել է Հայաստանի Հանրապետությանը սեփականության իրավունքով օտարել</w:t>
      </w:r>
      <w:r w:rsidRPr="002A4EAC">
        <w:rPr>
          <w:rFonts w:ascii="Calibri" w:eastAsia="Calibri" w:hAnsi="Calibri" w:cs="Calibri"/>
          <w:spacing w:val="-6"/>
          <w:sz w:val="24"/>
          <w:szCs w:val="24"/>
          <w:lang w:val="hy-AM" w:eastAsia="zh-CN" w:bidi="hi-IN"/>
        </w:rPr>
        <w:t> </w:t>
      </w:r>
      <w:r w:rsidRPr="002A4EAC">
        <w:rPr>
          <w:rFonts w:ascii="GHEA Grapalat" w:eastAsia="Calibri" w:hAnsi="GHEA Grapalat" w:cs="AK Courier"/>
          <w:spacing w:val="-6"/>
          <w:sz w:val="24"/>
          <w:szCs w:val="24"/>
          <w:lang w:val="hy-AM" w:eastAsia="zh-CN" w:bidi="hi-IN"/>
        </w:rPr>
        <w:t xml:space="preserve"> «Հայաստանի Էլեկտրական Ցանցեր» ՓԲԸ 100 տոկոս բաժնետոմսերը։ Վերը նշված գրությամբ Ընկերությանն առաջարկվել է պատասխանել հնարավորինս սեղմ ժամկետում, բայց ոչ ուշ քան «Էներգետիկայի մասին» օրենքի 52-րդ հոդվածի 3-րդ մասով սահմանված եռամսյա ժամկետի ավարտը, այն է՝ սույն թվականի փետրվարի 21-ը։ Նշված ժամկետում պատասխան չներկայացնելը կդիտարկվի որպես Կառավարության կողմից ներկայացված առաջարկի մերժում։</w:t>
      </w:r>
    </w:p>
    <w:p w14:paraId="17F7C4D8" w14:textId="77777777" w:rsidR="0008281E" w:rsidRDefault="004E2014" w:rsidP="0008281E">
      <w:pPr>
        <w:spacing w:after="0" w:line="360" w:lineRule="auto"/>
        <w:ind w:right="-5" w:firstLine="720"/>
        <w:jc w:val="both"/>
        <w:rPr>
          <w:rFonts w:ascii="GHEA Grapalat" w:eastAsia="Calibri" w:hAnsi="GHEA Grapalat" w:cs="AK Courier"/>
          <w:spacing w:val="-6"/>
          <w:sz w:val="24"/>
          <w:szCs w:val="24"/>
          <w:lang w:val="hy-AM" w:eastAsia="zh-CN" w:bidi="hi-IN"/>
        </w:rPr>
      </w:pPr>
      <w:r w:rsidRPr="002A4EAC">
        <w:rPr>
          <w:rFonts w:ascii="GHEA Grapalat" w:eastAsia="Calibri" w:hAnsi="GHEA Grapalat" w:cs="AK Courier"/>
          <w:spacing w:val="-6"/>
          <w:sz w:val="24"/>
          <w:szCs w:val="24"/>
          <w:lang w:val="hy-AM" w:eastAsia="zh-CN" w:bidi="hi-IN"/>
        </w:rPr>
        <w:t xml:space="preserve">ՀՀ վարչական դատարանի թիվ </w:t>
      </w:r>
      <w:r w:rsidRPr="000041A3">
        <w:rPr>
          <w:rFonts w:ascii="GHEA Grapalat" w:eastAsia="Calibri" w:hAnsi="GHEA Grapalat" w:cs="AK Courier"/>
          <w:spacing w:val="-6"/>
          <w:sz w:val="24"/>
          <w:szCs w:val="24"/>
          <w:lang w:val="hy-AM" w:eastAsia="zh-CN" w:bidi="hi-IN"/>
        </w:rPr>
        <w:t>ՎԴ/3948/05/26</w:t>
      </w:r>
      <w:r w:rsidRPr="002A4EAC">
        <w:rPr>
          <w:rFonts w:ascii="GHEA Grapalat" w:eastAsia="Calibri" w:hAnsi="GHEA Grapalat" w:cs="AK Courier"/>
          <w:spacing w:val="-6"/>
          <w:sz w:val="24"/>
          <w:szCs w:val="24"/>
          <w:lang w:val="hy-AM" w:eastAsia="zh-CN" w:bidi="hi-IN"/>
        </w:rPr>
        <w:t xml:space="preserve"> վարչական գործով 2026 թվականի ապրիլի 18-ի վճռի համաձայն՝ </w:t>
      </w:r>
      <w:r w:rsidR="009737A7" w:rsidRPr="002A4EAC">
        <w:rPr>
          <w:rFonts w:ascii="GHEA Grapalat" w:eastAsia="Calibri" w:hAnsi="GHEA Grapalat" w:cs="AK Courier"/>
          <w:spacing w:val="-6"/>
          <w:sz w:val="24"/>
          <w:szCs w:val="24"/>
          <w:lang w:val="hy-AM" w:eastAsia="zh-CN" w:bidi="hi-IN"/>
        </w:rPr>
        <w:t>«Տաշիր Կապիտալ»</w:t>
      </w:r>
      <w:r w:rsidR="009737A7">
        <w:rPr>
          <w:rFonts w:ascii="GHEA Grapalat" w:eastAsia="Calibri" w:hAnsi="GHEA Grapalat" w:cs="AK Courier"/>
          <w:spacing w:val="-6"/>
          <w:sz w:val="24"/>
          <w:szCs w:val="24"/>
          <w:lang w:val="hy-AM" w:eastAsia="zh-CN" w:bidi="hi-IN"/>
        </w:rPr>
        <w:t xml:space="preserve"> </w:t>
      </w:r>
      <w:r w:rsidRPr="002A4EAC">
        <w:rPr>
          <w:rFonts w:ascii="GHEA Grapalat" w:eastAsia="Calibri" w:hAnsi="GHEA Grapalat" w:cs="AK Courier"/>
          <w:spacing w:val="-6"/>
          <w:sz w:val="24"/>
          <w:szCs w:val="24"/>
          <w:lang w:val="hy-AM" w:eastAsia="zh-CN" w:bidi="hi-IN"/>
        </w:rPr>
        <w:t xml:space="preserve"> ՓԲԸ-ի հայցն ընդդեմ ՀՀ կառավարության բավարարվել է և ճանաչվել է ՀՀ կառավարության առաջարկության հիման վրա վերջինիս հետ համաձայնեցված կարգով </w:t>
      </w:r>
      <w:r w:rsidR="009737A7" w:rsidRPr="002A4EAC">
        <w:rPr>
          <w:rFonts w:ascii="GHEA Grapalat" w:eastAsia="Calibri" w:hAnsi="GHEA Grapalat" w:cs="AK Courier"/>
          <w:spacing w:val="-6"/>
          <w:sz w:val="24"/>
          <w:szCs w:val="24"/>
          <w:lang w:val="hy-AM" w:eastAsia="zh-CN" w:bidi="hi-IN"/>
        </w:rPr>
        <w:t xml:space="preserve">«Տաշիր Կապիտալ»  </w:t>
      </w:r>
      <w:r w:rsidRPr="002A4EAC">
        <w:rPr>
          <w:rFonts w:ascii="GHEA Grapalat" w:eastAsia="Calibri" w:hAnsi="GHEA Grapalat" w:cs="AK Courier"/>
          <w:spacing w:val="-6"/>
          <w:sz w:val="24"/>
          <w:szCs w:val="24"/>
          <w:lang w:val="hy-AM" w:eastAsia="zh-CN" w:bidi="hi-IN"/>
        </w:rPr>
        <w:t>ՓԲԸ 70% բաժնեմասի՝ հայցվորի կողմից օտարվելու հնարավորության իրավահարաբերության առկայությունը մինչև 25.05.2026 թվականն ընկած ժամանակահատվածը: Նշված գործի շրջանակում Դատարանի որոշմամբ Ընկերության կողմից ներկայացված հայցի ապահովման միջոց ձեռնարկելու վերաբերյալ միջնորդությունը բավարավել է:</w:t>
      </w:r>
    </w:p>
    <w:p w14:paraId="07009FAC" w14:textId="67508B2A" w:rsidR="004E2014" w:rsidRPr="002A4EAC" w:rsidRDefault="004E2014" w:rsidP="0008281E">
      <w:pPr>
        <w:spacing w:after="0" w:line="360" w:lineRule="auto"/>
        <w:ind w:right="-5" w:firstLine="720"/>
        <w:jc w:val="both"/>
        <w:rPr>
          <w:rFonts w:ascii="GHEA Grapalat" w:eastAsia="Calibri" w:hAnsi="GHEA Grapalat" w:cs="AK Courier"/>
          <w:spacing w:val="-6"/>
          <w:sz w:val="24"/>
          <w:szCs w:val="24"/>
          <w:lang w:val="hy-AM" w:eastAsia="zh-CN" w:bidi="hi-IN"/>
        </w:rPr>
      </w:pPr>
      <w:r w:rsidRPr="002A4EAC">
        <w:rPr>
          <w:rFonts w:ascii="GHEA Grapalat" w:eastAsia="Calibri" w:hAnsi="GHEA Grapalat" w:cs="AK Courier"/>
          <w:spacing w:val="-6"/>
          <w:sz w:val="24"/>
          <w:szCs w:val="24"/>
          <w:lang w:val="hy-AM" w:eastAsia="zh-CN" w:bidi="hi-IN"/>
        </w:rPr>
        <w:t>Վերոնշյալի արդյունքում Ընկերությունը հնարավորություն է ունեցել քննարկել առաջարկը մինչև 25.05.2026 թվականն ընկած ժամանակահատվածը:</w:t>
      </w:r>
    </w:p>
    <w:p w14:paraId="3DFA4846" w14:textId="2E36626B" w:rsidR="004E2014" w:rsidRPr="002A4EAC" w:rsidRDefault="004E2014" w:rsidP="0008281E">
      <w:pPr>
        <w:spacing w:after="0" w:line="360" w:lineRule="auto"/>
        <w:ind w:right="-5" w:firstLine="720"/>
        <w:jc w:val="both"/>
        <w:rPr>
          <w:rFonts w:ascii="GHEA Grapalat" w:eastAsia="Calibri" w:hAnsi="GHEA Grapalat" w:cs="AK Courier"/>
          <w:spacing w:val="-6"/>
          <w:sz w:val="24"/>
          <w:szCs w:val="24"/>
          <w:lang w:val="hy-AM" w:eastAsia="zh-CN" w:bidi="hi-IN"/>
        </w:rPr>
      </w:pPr>
      <w:r w:rsidRPr="002A4EAC">
        <w:rPr>
          <w:rFonts w:ascii="GHEA Grapalat" w:eastAsia="Calibri" w:hAnsi="GHEA Grapalat" w:cs="AK Courier"/>
          <w:spacing w:val="-6"/>
          <w:sz w:val="24"/>
          <w:szCs w:val="24"/>
          <w:lang w:val="hy-AM" w:eastAsia="zh-CN" w:bidi="hi-IN"/>
        </w:rPr>
        <w:t xml:space="preserve">«Տաշիր կապիտալ» ՓԲԸ-ի ներկայացուցիչը ևս մեկ հայցադիմում է ներկայացրել Դատարան ընդդեմ ՀՀ կառավարության՝ Էներգետիկայի մասին» օրենքի հիման վրա՝ որպես բացառիկ միջոց, «Հայաստանի </w:t>
      </w:r>
      <w:r w:rsidR="0008281E" w:rsidRPr="002A4EAC">
        <w:rPr>
          <w:rFonts w:ascii="GHEA Grapalat" w:eastAsia="Calibri" w:hAnsi="GHEA Grapalat" w:cs="AK Courier"/>
          <w:spacing w:val="-6"/>
          <w:sz w:val="24"/>
          <w:szCs w:val="24"/>
          <w:lang w:val="hy-AM" w:eastAsia="zh-CN" w:bidi="hi-IN"/>
        </w:rPr>
        <w:t>էլեկտրական ց</w:t>
      </w:r>
      <w:r w:rsidRPr="002A4EAC">
        <w:rPr>
          <w:rFonts w:ascii="GHEA Grapalat" w:eastAsia="Calibri" w:hAnsi="GHEA Grapalat" w:cs="AK Courier"/>
          <w:spacing w:val="-6"/>
          <w:sz w:val="24"/>
          <w:szCs w:val="24"/>
          <w:lang w:val="hy-AM" w:eastAsia="zh-CN" w:bidi="hi-IN"/>
        </w:rPr>
        <w:t xml:space="preserve">անցեր» ՓԲԸ 70% բաժնեմասի՝ Սահմանադրության 60-րդ հոդվածին համապատասխան օտարելու իրավահարաբերության բացակայությունը ճանաչելու պահանջի մասին, սակայն թիվ </w:t>
      </w:r>
      <w:r w:rsidRPr="000041A3">
        <w:rPr>
          <w:rFonts w:ascii="GHEA Grapalat" w:eastAsia="Calibri" w:hAnsi="GHEA Grapalat" w:cs="AK Courier"/>
          <w:spacing w:val="-6"/>
          <w:sz w:val="24"/>
          <w:szCs w:val="24"/>
          <w:lang w:val="hy-AM" w:eastAsia="zh-CN" w:bidi="hi-IN"/>
        </w:rPr>
        <w:t>ՎԴ/11316/05/26</w:t>
      </w:r>
      <w:r w:rsidRPr="002A4EAC">
        <w:rPr>
          <w:rFonts w:ascii="GHEA Grapalat" w:eastAsia="Calibri" w:hAnsi="GHEA Grapalat" w:cs="AK Courier"/>
          <w:spacing w:val="-6"/>
          <w:sz w:val="24"/>
          <w:szCs w:val="24"/>
          <w:lang w:val="hy-AM" w:eastAsia="zh-CN" w:bidi="hi-IN"/>
        </w:rPr>
        <w:t xml:space="preserve"> վարչական գործով ՀՀ վարչական դատարանի որոշմամբ ներկայացված հայցադիմումի ընդունումը մերժվել է:</w:t>
      </w:r>
    </w:p>
    <w:p w14:paraId="044FE2FC" w14:textId="5330CD05" w:rsidR="004E2014" w:rsidRPr="002A4EAC" w:rsidRDefault="004E2014" w:rsidP="00C004F8">
      <w:pPr>
        <w:pStyle w:val="LO-normal"/>
        <w:spacing w:line="360" w:lineRule="auto"/>
        <w:ind w:firstLine="720"/>
        <w:jc w:val="both"/>
        <w:rPr>
          <w:rFonts w:ascii="GHEA Grapalat" w:hAnsi="GHEA Grapalat" w:cs="AK Courier"/>
          <w:spacing w:val="-6"/>
          <w:sz w:val="24"/>
          <w:szCs w:val="24"/>
          <w:lang w:val="hy-AM"/>
        </w:rPr>
      </w:pPr>
      <w:r w:rsidRPr="002A4EAC">
        <w:rPr>
          <w:rFonts w:ascii="GHEA Grapalat" w:hAnsi="GHEA Grapalat" w:cs="AK Courier"/>
          <w:spacing w:val="-6"/>
          <w:sz w:val="24"/>
          <w:szCs w:val="24"/>
          <w:lang w:val="hy-AM"/>
        </w:rPr>
        <w:t xml:space="preserve">Ընկերությունը Էներգետիկայի մասին» ՀՀ օրենքի 52-րդ հոդվածի 3-րդ մասով սահմանված՝ Կառավարության հետ համաձայնեցված կարգով ընկերության բաժնետոմսերը </w:t>
      </w:r>
      <w:r w:rsidRPr="002A4EAC">
        <w:rPr>
          <w:rFonts w:ascii="GHEA Grapalat" w:hAnsi="GHEA Grapalat" w:cs="AK Courier"/>
          <w:spacing w:val="-6"/>
          <w:sz w:val="24"/>
          <w:szCs w:val="24"/>
          <w:lang w:val="hy-AM"/>
        </w:rPr>
        <w:lastRenderedPageBreak/>
        <w:t>օտարելու եռամսյա ժամկետի ընթացքում չի իրացրել գույքը կամավոր տնօրինելու օրենքով նախատեսված իր իրավունքը</w:t>
      </w:r>
      <w:r w:rsidR="008A1AEE">
        <w:rPr>
          <w:rFonts w:ascii="GHEA Grapalat" w:hAnsi="GHEA Grapalat" w:cs="AK Courier"/>
          <w:spacing w:val="-6"/>
          <w:sz w:val="24"/>
          <w:szCs w:val="24"/>
          <w:lang w:val="hy-AM"/>
        </w:rPr>
        <w:t>։</w:t>
      </w:r>
    </w:p>
    <w:p w14:paraId="4E8F2D17" w14:textId="4DC00FBA" w:rsidR="00A51552" w:rsidRPr="002A4EAC" w:rsidRDefault="00C004F8" w:rsidP="002A4EAC">
      <w:pPr>
        <w:pBdr>
          <w:top w:val="nil"/>
          <w:left w:val="nil"/>
          <w:bottom w:val="nil"/>
          <w:right w:val="nil"/>
          <w:between w:val="nil"/>
        </w:pBdr>
        <w:tabs>
          <w:tab w:val="left" w:pos="709"/>
          <w:tab w:val="left" w:pos="851"/>
          <w:tab w:val="left" w:pos="993"/>
        </w:tabs>
        <w:spacing w:after="0" w:line="360" w:lineRule="auto"/>
        <w:jc w:val="both"/>
        <w:rPr>
          <w:rFonts w:ascii="GHEA Grapalat" w:eastAsia="Calibri" w:hAnsi="GHEA Grapalat" w:cs="AK Courier"/>
          <w:spacing w:val="-6"/>
          <w:sz w:val="24"/>
          <w:szCs w:val="24"/>
          <w:lang w:val="hy-AM" w:eastAsia="zh-CN" w:bidi="hi-IN"/>
        </w:rPr>
      </w:pPr>
      <w:r>
        <w:rPr>
          <w:rFonts w:ascii="GHEA Grapalat" w:eastAsia="Calibri" w:hAnsi="GHEA Grapalat" w:cs="AK Courier"/>
          <w:spacing w:val="-6"/>
          <w:sz w:val="24"/>
          <w:szCs w:val="24"/>
          <w:lang w:val="hy-AM" w:eastAsia="zh-CN" w:bidi="hi-IN"/>
        </w:rPr>
        <w:tab/>
      </w:r>
      <w:r w:rsidR="00A51552" w:rsidRPr="002A4EAC">
        <w:rPr>
          <w:rFonts w:ascii="GHEA Grapalat" w:eastAsia="Calibri" w:hAnsi="GHEA Grapalat" w:cs="AK Courier"/>
          <w:spacing w:val="-6"/>
          <w:sz w:val="24"/>
          <w:szCs w:val="24"/>
          <w:lang w:val="hy-AM" w:eastAsia="zh-CN" w:bidi="hi-IN"/>
        </w:rPr>
        <w:t>Էլեկտրաէներգիայի բաշխիչ ցանցերը ռազմավարական ենթակառուցվածք են։ Դրանց աշխատանքից կախված են ոչ միայն կենցաղային պայմանները, այլև արդյունաբերությունը, պետական կառույցները, տրանսպորտը և կապի համակարգերը։ Նման ոլորտներում պետության վերահսկողության ուժեղացումը հաճախ հիմնավորվում է հանրային անվտանգության և կայունության նկատառումներով։</w:t>
      </w:r>
    </w:p>
    <w:p w14:paraId="522492BD" w14:textId="5C2821B1" w:rsidR="00A51552" w:rsidRPr="00A31114" w:rsidRDefault="00C004F8" w:rsidP="002A4EAC">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A51552" w:rsidRPr="00A31114">
        <w:rPr>
          <w:rFonts w:ascii="GHEA Grapalat" w:eastAsia="Times New Roman" w:hAnsi="GHEA Grapalat" w:cs="Calibri"/>
          <w:bCs/>
          <w:color w:val="000000"/>
          <w:sz w:val="24"/>
          <w:szCs w:val="24"/>
          <w:lang w:val="hy-AM" w:eastAsia="ru-RU"/>
        </w:rPr>
        <w:t>Հայաստանի Հանրապետության օրենսդրությամբ սեփականության իրավունքը կարող է սահմանափակվել հանրության գերակա շահի նպատակով՝ օրենքով սահմանված դեպքերում և համաչափության սկզբունքով։ Եթե պետական մարմինը հիմնավորում է, որ էլեկտրաէներգիայի բաշխման ոլորտում առկա խնդիրները վտանգում են հանրային շահը, ապա միջամտությունը կարող է իրավաչափ համարվել։</w:t>
      </w:r>
    </w:p>
    <w:p w14:paraId="46982A07" w14:textId="77777777" w:rsidR="00240D93" w:rsidRDefault="00C004F8"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A51552" w:rsidRPr="00A31114">
        <w:rPr>
          <w:rFonts w:ascii="GHEA Grapalat" w:eastAsia="Times New Roman" w:hAnsi="GHEA Grapalat" w:cs="Calibri"/>
          <w:bCs/>
          <w:color w:val="000000"/>
          <w:sz w:val="24"/>
          <w:szCs w:val="24"/>
          <w:lang w:val="hy-AM" w:eastAsia="ru-RU"/>
        </w:rPr>
        <w:t>Էլեկտրաէներգիայի մատակարարումը չի կարող դադարել նույնիսկ կառավարման ճգնաժամի դեպքում։ Հետևաբար պետությունը պարտավոր է առաջնահերթ ապահովել համակարգի անխափան աշխատանքը՝ անկախ մասնավոր ընկերության վիճակից կամ սեփականատիրոջ փոփոխությունից։</w:t>
      </w:r>
    </w:p>
    <w:p w14:paraId="53A0D5B5" w14:textId="77777777" w:rsidR="00240D93" w:rsidRDefault="00240D93"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ՀՀ Սահմանադրական դատարանը 2026 թվականի մարտի 12-ի ՍԴՈ-1819 որոշմամբ, անդրադառնալով «Էներգետիկայի մասին» օրենքի 52.1-ին հոդվածով նախատեսված կանխարգելիչ միջոցառումներին, արձանագրել է, որ դրանք նպատակ են հետապնդում, մասնավորապես, կանխել լիցենզիա ունեցող անձանց կողմից ոչ իրավաչափ վարքագծի դրսևորումը, ապահովել հարուցված վարչական վարույթի անխոչընդոտ և բնականոն ընթացքը, ինչպես նաև էներգետիկ համակարգի կայունությունը և գործառութային ամբողջականությունը, էլեկտրաէներգետիկական համակարգի բնականոն և անխափան գործունեության շարունակականությունը։</w:t>
      </w:r>
    </w:p>
    <w:p w14:paraId="7263A95D" w14:textId="44563CC1" w:rsidR="00240D93" w:rsidRDefault="00240D93"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 xml:space="preserve">Սահմանադրական դատարանը միաժամանակ ընդգծել է, որ նշված կանխարգելիչ միջոցառումները կիրառվում են վարչական վարույթի շրջանակներում՝ իրավախախտումների բնույթով և գործի կոնկրետ հանգամանքներով պայմանավորված, և դրանց կիրառումը </w:t>
      </w:r>
      <w:r w:rsidR="009216F6" w:rsidRPr="009216F6">
        <w:rPr>
          <w:rFonts w:ascii="GHEA Grapalat" w:eastAsia="Times New Roman" w:hAnsi="GHEA Grapalat" w:cs="Calibri"/>
          <w:bCs/>
          <w:color w:val="000000"/>
          <w:sz w:val="24"/>
          <w:szCs w:val="24"/>
          <w:lang w:val="hy-AM" w:eastAsia="ru-RU"/>
        </w:rPr>
        <w:lastRenderedPageBreak/>
        <w:t>հանդիսանում է սեփականության իրավունքի տարր համարվող օգտագործման (կառավարման) իրավազորությունը ժամանակավորապես սահմանափակող միջամտություն՝ առանց այդ իրավունքի էությունը խաթարելու։</w:t>
      </w:r>
    </w:p>
    <w:p w14:paraId="61F90D6C" w14:textId="2F5779B5" w:rsidR="00240D93" w:rsidRDefault="00240D93"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Անդրադառնալով ժամանակավոր կառավարչի ինստիտուտին՝ Սահմանադրական դատարանը նշել է, որ ժամանակավոր կառավարչի նշանակմամբ և նրա գործունեության ամբողջ ընթացքում նրան են անցնում լիցենզավորված անձի գործադիր մարմնի բոլոր լիազորությունները, իսկ լիցենզավորված անձի կառավարման այլ մարմիններն իրենց լիազորություններն իրականացնում են ժամանակավոր կառավարչի համաձայնությամբ։</w:t>
      </w:r>
    </w:p>
    <w:p w14:paraId="4BFB89DA" w14:textId="49982B7A" w:rsidR="00240D93" w:rsidRDefault="00240D93"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Միաժամանակ Սահմանադրական դատարանը նշել է, որ նման կարգավորման նպատակն է համապատասխան կառուցակարգերի ներդրմամբ կանխել լիցենզիա ունեցող անձանց կողմից ոչ իրավաչափ վարքագծի դրսևորումները, ապահովել վարչական վարույթի անխոչընդոտ ընթացքը, ինչն էլ վերջնարդյունքում միտված է էլեկտրաէներգետիկական համակարգի բնականոն և անխափան գործունեության շարունակականության երաշխավորմանը։</w:t>
      </w:r>
    </w:p>
    <w:p w14:paraId="705297E0" w14:textId="77777777" w:rsidR="00240D93" w:rsidRDefault="00240D93"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Վերոգրյալից հետևում է, որ ժամանակավոր կառավարչի ինստիտուտը, իր իրավական բնույթով և Սահմանադրական դատարանի կողմից դրա համար մատնանշված նպատակներով, ուղղված է նախևառաջ առկա ռիսկերի կանխարգելմանը, վարչական վարույթի բնականոն իրականացման ապահովմանը և էլեկտրաէներգետիկական համակարգի բնականոն ու անխափան գործունեության շարունակականության երաշխավորմանը։ Միաժամանակ այդ միջոցը կիրառվում է վարչական վարույթի շրջանակներում և ունի ժամանակավոր բնույթ։</w:t>
      </w:r>
    </w:p>
    <w:p w14:paraId="48A9A46A" w14:textId="77777777" w:rsidR="00240D93" w:rsidRDefault="00240D93" w:rsidP="009216F6">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 xml:space="preserve">Հետևաբար, ժամանակավոր կառավարման կիրառումը, ապահովելով էլեկտրաէներգետիկական համակարգի բնականոն գործունեության շարունակականությունը, ինքնին չի հանդիսանում այդ համակարգի երկարաժամկետ և կայուն կառավարման վերջնական իրավական լուծում։ Հաշվի առնելով էլեկտրաէներգետիկական համակարգի ռազմավարական նշանակությունը, դրա կայունության, հուսալիության և անխափան գործունեության ապահովման հանրային անհրաժեշտությունը՝ առաջանում է այնպիսի </w:t>
      </w:r>
      <w:r w:rsidR="009216F6" w:rsidRPr="009216F6">
        <w:rPr>
          <w:rFonts w:ascii="GHEA Grapalat" w:eastAsia="Times New Roman" w:hAnsi="GHEA Grapalat" w:cs="Calibri"/>
          <w:bCs/>
          <w:color w:val="000000"/>
          <w:sz w:val="24"/>
          <w:szCs w:val="24"/>
          <w:lang w:val="hy-AM" w:eastAsia="ru-RU"/>
        </w:rPr>
        <w:lastRenderedPageBreak/>
        <w:t>մշտական և կայուն իրավական ու կազմակերպական լուծման անհրաժեշտություն, որը կապահովի նշված հանրային նպատակների իրականացումը նաև ժամանակավոր կառավարման միջոցի դադարեցումից հետո։</w:t>
      </w:r>
    </w:p>
    <w:p w14:paraId="41309576" w14:textId="77777777" w:rsidR="00761697" w:rsidRDefault="00240D93" w:rsidP="00761697">
      <w:pPr>
        <w:pBdr>
          <w:top w:val="nil"/>
          <w:left w:val="nil"/>
          <w:bottom w:val="nil"/>
          <w:right w:val="nil"/>
          <w:between w:val="nil"/>
        </w:pBdr>
        <w:tabs>
          <w:tab w:val="left" w:pos="709"/>
          <w:tab w:val="left" w:pos="851"/>
          <w:tab w:val="left" w:pos="993"/>
        </w:tabs>
        <w:spacing w:after="0" w:line="360" w:lineRule="auto"/>
        <w:jc w:val="both"/>
        <w:rPr>
          <w:rFonts w:ascii="GHEA Grapalat" w:eastAsia="Times New Roman" w:hAnsi="GHEA Grapalat" w:cs="Calibri"/>
          <w:bCs/>
          <w:color w:val="000000"/>
          <w:sz w:val="24"/>
          <w:szCs w:val="24"/>
          <w:lang w:val="hy-AM" w:eastAsia="ru-RU"/>
        </w:rPr>
      </w:pPr>
      <w:r>
        <w:rPr>
          <w:rFonts w:ascii="GHEA Grapalat" w:eastAsia="Times New Roman" w:hAnsi="GHEA Grapalat" w:cs="Calibri"/>
          <w:bCs/>
          <w:color w:val="000000"/>
          <w:sz w:val="24"/>
          <w:szCs w:val="24"/>
          <w:lang w:val="hy-AM" w:eastAsia="ru-RU"/>
        </w:rPr>
        <w:tab/>
      </w:r>
      <w:r w:rsidR="009216F6" w:rsidRPr="009216F6">
        <w:rPr>
          <w:rFonts w:ascii="GHEA Grapalat" w:eastAsia="Times New Roman" w:hAnsi="GHEA Grapalat" w:cs="Calibri"/>
          <w:bCs/>
          <w:color w:val="000000"/>
          <w:sz w:val="24"/>
          <w:szCs w:val="24"/>
          <w:lang w:val="hy-AM" w:eastAsia="ru-RU"/>
        </w:rPr>
        <w:t>Այս համատեքստում «Հայաստանի էլեկտրական ցանցեր» փակ բաժնետիրական ընկերության բաժնետոմսերի նկատմամբ հանրության գերակա շահի ճանաչումը և օրենքով սահմանված կարգով դրանց օտարումը դիտարկվում են որպես նշված հանրային նպատակների երկարաժամկետ և կայուն ապահովմանն ուղղված միջոց։</w:t>
      </w:r>
    </w:p>
    <w:p w14:paraId="50B0D1C8" w14:textId="04F08DF9" w:rsidR="00583786" w:rsidRPr="00761697" w:rsidRDefault="00583786" w:rsidP="00761697">
      <w:pPr>
        <w:pStyle w:val="ListParagraph"/>
        <w:numPr>
          <w:ilvl w:val="0"/>
          <w:numId w:val="1"/>
        </w:numPr>
        <w:pBdr>
          <w:top w:val="nil"/>
          <w:left w:val="nil"/>
          <w:bottom w:val="nil"/>
          <w:right w:val="nil"/>
          <w:between w:val="nil"/>
        </w:pBdr>
        <w:tabs>
          <w:tab w:val="left" w:pos="709"/>
          <w:tab w:val="left" w:pos="851"/>
          <w:tab w:val="left" w:pos="993"/>
        </w:tabs>
        <w:spacing w:after="0" w:line="360" w:lineRule="auto"/>
        <w:ind w:firstLine="540"/>
        <w:jc w:val="both"/>
        <w:rPr>
          <w:rFonts w:ascii="GHEA Grapalat" w:eastAsia="Times New Roman" w:hAnsi="GHEA Grapalat" w:cs="Calibri"/>
          <w:b/>
          <w:color w:val="000000"/>
          <w:sz w:val="24"/>
          <w:szCs w:val="24"/>
          <w:lang w:val="hy-AM" w:eastAsia="ru-RU"/>
        </w:rPr>
      </w:pPr>
      <w:r w:rsidRPr="00761697">
        <w:rPr>
          <w:rFonts w:ascii="GHEA Grapalat" w:eastAsia="Times New Roman" w:hAnsi="GHEA Grapalat" w:cs="Calibri"/>
          <w:b/>
          <w:color w:val="000000"/>
          <w:sz w:val="24"/>
          <w:szCs w:val="24"/>
          <w:lang w:val="hy-AM" w:eastAsia="ru-RU"/>
        </w:rPr>
        <w:t>Առաջարկվող կարգավորման բնույթը</w:t>
      </w:r>
    </w:p>
    <w:p w14:paraId="51A64014" w14:textId="702AC9F3" w:rsidR="004338EE" w:rsidRPr="00A31114" w:rsidRDefault="00C004F8" w:rsidP="002A4EAC">
      <w:pPr>
        <w:tabs>
          <w:tab w:val="left" w:pos="709"/>
          <w:tab w:val="left" w:pos="851"/>
          <w:tab w:val="left" w:pos="993"/>
        </w:tabs>
        <w:spacing w:after="0" w:line="360" w:lineRule="auto"/>
        <w:jc w:val="both"/>
        <w:rPr>
          <w:rFonts w:ascii="GHEA Grapalat" w:hAnsi="GHEA Grapalat" w:cs="Calibri"/>
          <w:sz w:val="24"/>
          <w:szCs w:val="24"/>
          <w:lang w:val="hy-AM"/>
        </w:rPr>
      </w:pPr>
      <w:r>
        <w:rPr>
          <w:rFonts w:ascii="GHEA Grapalat" w:hAnsi="GHEA Grapalat" w:cs="Calibri"/>
          <w:sz w:val="24"/>
          <w:szCs w:val="24"/>
          <w:lang w:val="hy-AM"/>
        </w:rPr>
        <w:tab/>
      </w:r>
      <w:r w:rsidR="004338EE" w:rsidRPr="00A31114">
        <w:rPr>
          <w:rFonts w:ascii="GHEA Grapalat" w:hAnsi="GHEA Grapalat" w:cs="Calibri"/>
          <w:sz w:val="24"/>
          <w:szCs w:val="24"/>
          <w:lang w:val="hy-AM"/>
        </w:rPr>
        <w:t>ՀՀ Սահմանադրության, «Էներգետիկայի մասին» ՀՀ օրենքի, ինչպես նաև հանրային ծառայությունների կարգավորման ոլորտը կարգավորող իրավական ակտերի համակարգային վերլուծությունից բխում է, որ էլեկտրաէներգիայի բաշխման ոլորտը հանդիսանում է բնական մենաշնորհի բնագավառ և ենթակա է պետական հատուկ վերահսկողության՝ սպառողների իրավունքների, էներգետիկ անվտանգության և ծառայությունների անընդհատության ապահովման նպատակով։</w:t>
      </w:r>
    </w:p>
    <w:p w14:paraId="2DAE8666" w14:textId="77777777" w:rsidR="00761697" w:rsidRDefault="00C004F8" w:rsidP="002A4EAC">
      <w:pPr>
        <w:tabs>
          <w:tab w:val="left" w:pos="709"/>
          <w:tab w:val="left" w:pos="851"/>
          <w:tab w:val="left" w:pos="993"/>
        </w:tabs>
        <w:spacing w:after="0" w:line="360" w:lineRule="auto"/>
        <w:jc w:val="both"/>
        <w:rPr>
          <w:rFonts w:ascii="GHEA Grapalat" w:hAnsi="GHEA Grapalat" w:cs="Calibri"/>
          <w:sz w:val="24"/>
          <w:szCs w:val="24"/>
          <w:lang w:val="hy-AM"/>
        </w:rPr>
      </w:pPr>
      <w:bookmarkStart w:id="3" w:name="_Hlk230170262"/>
      <w:r>
        <w:rPr>
          <w:rFonts w:ascii="GHEA Grapalat" w:hAnsi="GHEA Grapalat" w:cs="Calibri"/>
          <w:sz w:val="24"/>
          <w:szCs w:val="24"/>
          <w:lang w:val="hy-AM"/>
        </w:rPr>
        <w:tab/>
      </w:r>
      <w:r w:rsidR="004338EE" w:rsidRPr="00A31114">
        <w:rPr>
          <w:rFonts w:ascii="GHEA Grapalat" w:hAnsi="GHEA Grapalat" w:cs="Calibri"/>
          <w:sz w:val="24"/>
          <w:szCs w:val="24"/>
          <w:lang w:val="hy-AM"/>
        </w:rPr>
        <w:t>Էլեկտրաէներգիայի բաշխիչ ցանցերը, իրենց բնույթով, հանդիսանում են ռազմավարական ենթակառուցվածք, որի գործունեության խափանումը կարող է առաջացնել լայնածավալ սոցիալական, տնտեսական և անվտանգային հետևանքներ։ Հետևաբար պետությունն ունի ոչ միայն իրավունք, այլև սահմանադրաիրավական պարտականություն՝ միջամտելու այն դեպքերում, երբ առկա է հանրային շահի պաշտպանության անհրաժեշտություն։</w:t>
      </w:r>
      <w:bookmarkEnd w:id="3"/>
    </w:p>
    <w:p w14:paraId="4E093D27" w14:textId="72502E6F" w:rsidR="00194F4C" w:rsidRDefault="00761697" w:rsidP="002A4EAC">
      <w:pPr>
        <w:tabs>
          <w:tab w:val="left" w:pos="709"/>
          <w:tab w:val="left" w:pos="851"/>
          <w:tab w:val="left" w:pos="993"/>
        </w:tabs>
        <w:spacing w:after="0" w:line="360" w:lineRule="auto"/>
        <w:jc w:val="both"/>
        <w:rPr>
          <w:rFonts w:ascii="GHEA Grapalat" w:hAnsi="GHEA Grapalat" w:cs="Calibri"/>
          <w:sz w:val="24"/>
          <w:szCs w:val="24"/>
          <w:lang w:val="hy-AM"/>
        </w:rPr>
      </w:pPr>
      <w:r>
        <w:rPr>
          <w:rFonts w:ascii="GHEA Grapalat" w:hAnsi="GHEA Grapalat" w:cs="Calibri"/>
          <w:sz w:val="24"/>
          <w:szCs w:val="24"/>
          <w:lang w:val="hy-AM"/>
        </w:rPr>
        <w:tab/>
      </w:r>
      <w:r w:rsidR="00207DE3">
        <w:rPr>
          <w:rFonts w:ascii="GHEA Grapalat" w:hAnsi="GHEA Grapalat" w:cs="Calibri"/>
          <w:sz w:val="24"/>
          <w:szCs w:val="24"/>
          <w:lang w:val="hy-AM"/>
        </w:rPr>
        <w:t>«Էներգետիկայի մասին»</w:t>
      </w:r>
      <w:r w:rsidR="00207DE3" w:rsidRPr="00FF36C8">
        <w:rPr>
          <w:rFonts w:ascii="GHEA Grapalat" w:hAnsi="GHEA Grapalat" w:cs="Calibri"/>
          <w:sz w:val="24"/>
          <w:szCs w:val="24"/>
          <w:lang w:val="hy-AM"/>
        </w:rPr>
        <w:t xml:space="preserve"> </w:t>
      </w:r>
      <w:r w:rsidR="00207DE3">
        <w:rPr>
          <w:rFonts w:ascii="GHEA Grapalat" w:hAnsi="GHEA Grapalat" w:cs="Calibri"/>
          <w:sz w:val="24"/>
          <w:szCs w:val="24"/>
          <w:lang w:val="hy-AM"/>
        </w:rPr>
        <w:t xml:space="preserve">օրենքի </w:t>
      </w:r>
      <w:r w:rsidR="00FE1F0A">
        <w:rPr>
          <w:rFonts w:ascii="GHEA Grapalat" w:hAnsi="GHEA Grapalat" w:cs="AK Courier"/>
          <w:spacing w:val="-6"/>
          <w:sz w:val="24"/>
          <w:szCs w:val="24"/>
          <w:lang w:val="hy-AM"/>
        </w:rPr>
        <w:t>52-րդ հոդվածի 3-րդ մասի համաձայն</w:t>
      </w:r>
      <w:r w:rsidR="000D4AD3">
        <w:rPr>
          <w:rFonts w:ascii="GHEA Grapalat" w:hAnsi="GHEA Grapalat" w:cs="AK Courier"/>
          <w:spacing w:val="-6"/>
          <w:sz w:val="24"/>
          <w:szCs w:val="24"/>
          <w:lang w:val="hy-AM"/>
        </w:rPr>
        <w:t xml:space="preserve">՝ </w:t>
      </w:r>
      <w:r w:rsidR="009216F6">
        <w:rPr>
          <w:rFonts w:ascii="GHEA Grapalat" w:hAnsi="GHEA Grapalat" w:cs="Calibri"/>
          <w:sz w:val="24"/>
          <w:szCs w:val="24"/>
          <w:lang w:val="hy-AM"/>
        </w:rPr>
        <w:t>ե</w:t>
      </w:r>
      <w:r w:rsidR="000D4AD3" w:rsidRPr="00C87302">
        <w:rPr>
          <w:rFonts w:ascii="GHEA Grapalat" w:hAnsi="GHEA Grapalat" w:cs="Calibri"/>
          <w:sz w:val="24"/>
          <w:szCs w:val="24"/>
          <w:lang w:val="hy-AM"/>
        </w:rPr>
        <w:t xml:space="preserve">թե անձը հրաժարվում է իր գործունեությունը շարունակելուց, կամ նրա լիցենզիայի գործողությունը դադարեցվել է, ապա Հայաստանի Հանրապետության կառավարությունը այդ անձի բաժնետերերին (մասնակիցներին) առաջարկում է իր հետ համաձայնեցված կարգով օտարել այդ ընկերության բաժնետոմսերը (բաժնեմասերը), գույքը կամ լիցենզավորված գործունեությունն ապահովող` իր սեփականությունը հանդիսացող գույքային համալիրը: Սույն մասով սահմանված օտարումը եռամսյա ժամկետում չիրականացվելու դեպքում, </w:t>
      </w:r>
      <w:r w:rsidR="000D4AD3" w:rsidRPr="00C87302">
        <w:rPr>
          <w:rFonts w:ascii="GHEA Grapalat" w:hAnsi="GHEA Grapalat" w:cs="Calibri"/>
          <w:sz w:val="24"/>
          <w:szCs w:val="24"/>
          <w:lang w:val="hy-AM"/>
        </w:rPr>
        <w:lastRenderedPageBreak/>
        <w:t>որպես</w:t>
      </w:r>
      <w:r w:rsidR="000D4AD3" w:rsidRPr="00C87302">
        <w:rPr>
          <w:rFonts w:ascii="Calibri" w:hAnsi="Calibri" w:cs="Calibri"/>
          <w:sz w:val="24"/>
          <w:szCs w:val="24"/>
          <w:lang w:val="hy-AM"/>
        </w:rPr>
        <w:t> </w:t>
      </w:r>
      <w:r w:rsidR="000D4AD3" w:rsidRPr="00C87302">
        <w:rPr>
          <w:rFonts w:ascii="GHEA Grapalat" w:hAnsi="GHEA Grapalat" w:cs="Calibri"/>
          <w:sz w:val="24"/>
          <w:szCs w:val="24"/>
          <w:lang w:val="hy-AM"/>
        </w:rPr>
        <w:t>բացառիկ միջոց, բաժնետոմսերը (բաժնեմասերը), գույքը կամ լիցենզավորված գործունեությունն ապահովող գույքային համալիրը կարող են օտարվել Հայաստանի Հանրապետության Սահմանադրության 60-րդ հոդվածին համապատասխան:</w:t>
      </w:r>
      <w:r w:rsidR="00207DE3" w:rsidRPr="00A31114">
        <w:rPr>
          <w:rFonts w:ascii="GHEA Grapalat" w:hAnsi="GHEA Grapalat" w:cs="Calibri"/>
          <w:sz w:val="24"/>
          <w:szCs w:val="24"/>
          <w:lang w:val="hy-AM"/>
        </w:rPr>
        <w:t xml:space="preserve"> </w:t>
      </w:r>
      <w:r w:rsidR="004338EE" w:rsidRPr="00A31114">
        <w:rPr>
          <w:rFonts w:ascii="GHEA Grapalat" w:hAnsi="GHEA Grapalat" w:cs="Calibri"/>
          <w:sz w:val="24"/>
          <w:szCs w:val="24"/>
          <w:lang w:val="hy-AM"/>
        </w:rPr>
        <w:t>ՀՀ Սահմանադրության համաձայն՝ սեփականության իրավունքը բացարձակ չէ և կարող է սահմանափակվել օրենքով՝ հանրության գերակա շահի ապահովման նպատակով՝ պահպանելով համաչափության, իրավաչափության և անհրաժեշտության սկզբունքները։ Տվյալ դեպքում հանրության գերակա շահը դրսևորվում է հանրապետության բնակչության կենսական ծառայությունների անխափան ապահովման, էներգետիկ անվտանգության պահպանման և հանրային կարգի պաշտպանության անհրաժեշտությամբ։</w:t>
      </w:r>
    </w:p>
    <w:p w14:paraId="7E577D8C" w14:textId="77777777" w:rsidR="00194F4C" w:rsidRDefault="00194F4C" w:rsidP="002A4EAC">
      <w:pPr>
        <w:tabs>
          <w:tab w:val="left" w:pos="709"/>
          <w:tab w:val="left" w:pos="851"/>
          <w:tab w:val="left" w:pos="993"/>
        </w:tabs>
        <w:spacing w:after="0" w:line="360" w:lineRule="auto"/>
        <w:jc w:val="both"/>
        <w:rPr>
          <w:rFonts w:ascii="GHEA Grapalat" w:hAnsi="GHEA Grapalat" w:cs="Calibri"/>
          <w:sz w:val="24"/>
          <w:szCs w:val="24"/>
          <w:lang w:val="hy-AM"/>
        </w:rPr>
      </w:pPr>
      <w:r>
        <w:rPr>
          <w:rFonts w:ascii="GHEA Grapalat" w:hAnsi="GHEA Grapalat" w:cs="Calibri"/>
          <w:sz w:val="24"/>
          <w:szCs w:val="24"/>
          <w:lang w:val="hy-AM"/>
        </w:rPr>
        <w:tab/>
      </w:r>
      <w:r w:rsidR="004338EE" w:rsidRPr="00A31114">
        <w:rPr>
          <w:rFonts w:ascii="GHEA Grapalat" w:hAnsi="GHEA Grapalat" w:cs="Calibri"/>
          <w:sz w:val="24"/>
          <w:szCs w:val="24"/>
          <w:lang w:val="hy-AM"/>
        </w:rPr>
        <w:t>Ուստի, հաշվի առնելով ՀԷՑ-ի կողմից իրականացվող գործունեության բացառիկ նշանակությունը, դրա ազդեցությունը հանրային կյանքի բոլոր ոլորտների վրա, ինչպես նաև ոլորտի բնական մենաշնորհային բնույթը, առկա են բավարար իրավական և հանրային հիմքեր՝ ՀԷՑ-ի գործունեությունը հանրության գերակա շահ ճանաչելու համար։</w:t>
      </w:r>
    </w:p>
    <w:p w14:paraId="2E99CC54" w14:textId="77777777" w:rsidR="00194F4C" w:rsidRDefault="00194F4C" w:rsidP="00194F4C">
      <w:pPr>
        <w:tabs>
          <w:tab w:val="left" w:pos="709"/>
          <w:tab w:val="left" w:pos="851"/>
          <w:tab w:val="left" w:pos="993"/>
        </w:tabs>
        <w:spacing w:after="0" w:line="360" w:lineRule="auto"/>
        <w:jc w:val="both"/>
        <w:rPr>
          <w:rFonts w:ascii="GHEA Grapalat" w:eastAsia="Times New Roman" w:hAnsi="GHEA Grapalat" w:cs="Calibri"/>
          <w:b/>
          <w:bCs/>
          <w:color w:val="000000"/>
          <w:sz w:val="24"/>
          <w:szCs w:val="24"/>
          <w:lang w:val="hy-AM" w:eastAsia="ru-RU"/>
        </w:rPr>
      </w:pPr>
      <w:r>
        <w:rPr>
          <w:rFonts w:ascii="GHEA Grapalat" w:hAnsi="GHEA Grapalat" w:cs="Calibri"/>
          <w:sz w:val="24"/>
          <w:szCs w:val="24"/>
          <w:lang w:val="hy-AM"/>
        </w:rPr>
        <w:tab/>
      </w:r>
      <w:r w:rsidR="00225DE4" w:rsidRPr="00A31114">
        <w:rPr>
          <w:rFonts w:ascii="GHEA Grapalat" w:eastAsia="Times New Roman" w:hAnsi="GHEA Grapalat" w:cs="Calibri"/>
          <w:b/>
          <w:bCs/>
          <w:color w:val="000000"/>
          <w:sz w:val="24"/>
          <w:szCs w:val="24"/>
          <w:lang w:val="hy-AM" w:eastAsia="ru-RU"/>
        </w:rPr>
        <w:t>3. Ակնկալվող արդյունքը.</w:t>
      </w:r>
    </w:p>
    <w:p w14:paraId="4A7A1C17" w14:textId="77777777" w:rsidR="00194F4C" w:rsidRDefault="00194F4C" w:rsidP="00194F4C">
      <w:pPr>
        <w:tabs>
          <w:tab w:val="left" w:pos="709"/>
          <w:tab w:val="left" w:pos="851"/>
          <w:tab w:val="left" w:pos="993"/>
        </w:tabs>
        <w:spacing w:after="0" w:line="360" w:lineRule="auto"/>
        <w:jc w:val="both"/>
        <w:rPr>
          <w:rFonts w:ascii="GHEA Grapalat" w:eastAsia="Times New Roman" w:hAnsi="GHEA Grapalat" w:cs="Calibri"/>
          <w:color w:val="000000"/>
          <w:sz w:val="24"/>
          <w:szCs w:val="24"/>
          <w:lang w:val="hy-AM" w:eastAsia="ru-RU"/>
        </w:rPr>
      </w:pPr>
      <w:r>
        <w:rPr>
          <w:rFonts w:ascii="GHEA Grapalat" w:eastAsia="Times New Roman" w:hAnsi="GHEA Grapalat" w:cs="Calibri"/>
          <w:color w:val="000000"/>
          <w:sz w:val="24"/>
          <w:szCs w:val="24"/>
          <w:lang w:val="hy-AM" w:eastAsia="ru-RU"/>
        </w:rPr>
        <w:tab/>
      </w:r>
      <w:r w:rsidR="004338EE" w:rsidRPr="00A31114">
        <w:rPr>
          <w:rFonts w:ascii="GHEA Grapalat" w:eastAsia="Times New Roman" w:hAnsi="GHEA Grapalat" w:cs="Calibri"/>
          <w:color w:val="000000"/>
          <w:sz w:val="24"/>
          <w:szCs w:val="24"/>
          <w:lang w:val="hy-AM" w:eastAsia="ru-RU"/>
        </w:rPr>
        <w:t>Էլեկտրաէներգիայի բաշխիչ ցանցերը, իրենց բնույթով, հանդիսանում են ռազմավարական ենթակառուցվածք, որի գործունեության խափանումը կարող է առաջացնել լայնածավալ սոցիալական, տնտեսական և անվտանգային հետևանքներ։ Հետևաբար պետությունն ունի ոչ միայն իրավունք, այլև սահմանադրաիրավական պարտականություն՝ միջամտելու այն դեպքերում, երբ առկա է հանրային շահի պաշտպանության անհրաժեշտություն։ Ուստի սույն որոշման ընդունման արդյունքում «Հայաստանի էլեկտրական ցանցեր» փակ բաժնետիրական ընկերության 100% բաժնետոմսերի նկատմամբ կճանաչվի հանրության գերակա շահ:</w:t>
      </w:r>
    </w:p>
    <w:p w14:paraId="7EA7FBFB" w14:textId="49946B15" w:rsidR="003E084F" w:rsidRPr="003E084F" w:rsidRDefault="00194F4C" w:rsidP="00194F4C">
      <w:pPr>
        <w:tabs>
          <w:tab w:val="left" w:pos="709"/>
          <w:tab w:val="left" w:pos="851"/>
          <w:tab w:val="left" w:pos="993"/>
        </w:tabs>
        <w:spacing w:after="0" w:line="360" w:lineRule="auto"/>
        <w:jc w:val="both"/>
        <w:rPr>
          <w:rFonts w:ascii="Noto-Sans-Arm-Semi" w:eastAsia="Times New Roman" w:hAnsi="Noto-Sans-Arm-Semi" w:cs="Times New Roman"/>
          <w:color w:val="454545"/>
          <w:sz w:val="24"/>
          <w:szCs w:val="24"/>
          <w:lang w:val="hy-AM"/>
        </w:rPr>
      </w:pPr>
      <w:r>
        <w:rPr>
          <w:rFonts w:ascii="GHEA Grapalat" w:eastAsia="Times New Roman" w:hAnsi="GHEA Grapalat" w:cs="Calibri"/>
          <w:color w:val="000000"/>
          <w:sz w:val="24"/>
          <w:szCs w:val="24"/>
          <w:lang w:val="hy-AM" w:eastAsia="ru-RU"/>
        </w:rPr>
        <w:tab/>
      </w:r>
      <w:r w:rsidR="00225DE4" w:rsidRPr="00A31114">
        <w:rPr>
          <w:rFonts w:ascii="GHEA Grapalat" w:eastAsia="Times New Roman" w:hAnsi="GHEA Grapalat" w:cs="Calibri"/>
          <w:b/>
          <w:color w:val="000000"/>
          <w:sz w:val="24"/>
          <w:szCs w:val="24"/>
          <w:lang w:val="hy-AM" w:eastAsia="ru-RU"/>
        </w:rPr>
        <w:t>4. Նախագծերի ընդունման կապակցությամբ այլ նորմատիվ իրավական ակտերի ընդունման անհրաժեշտությունը, ինչպես նաև լրացուցիչ ֆինանսական միջոցների անհրաժեշտությունը և պետական բյուջեի եկամուտներում և ծախսերում սպասվելիք փոփոխությունները.</w:t>
      </w:r>
      <w:r w:rsidR="00DC7242">
        <w:rPr>
          <w:rFonts w:ascii="GHEA Grapalat" w:eastAsia="Times New Roman" w:hAnsi="GHEA Grapalat" w:cs="Calibri"/>
          <w:b/>
          <w:color w:val="000000"/>
          <w:sz w:val="24"/>
          <w:szCs w:val="24"/>
          <w:lang w:val="hy-AM" w:eastAsia="ru-RU"/>
        </w:rPr>
        <w:t xml:space="preserve"> </w:t>
      </w:r>
    </w:p>
    <w:p w14:paraId="45AEFDF6" w14:textId="77777777" w:rsidR="00524606" w:rsidRDefault="003E084F" w:rsidP="00524606">
      <w:pPr>
        <w:shd w:val="clear" w:color="auto" w:fill="FFFFFF"/>
        <w:spacing w:after="0" w:line="360" w:lineRule="auto"/>
        <w:ind w:firstLine="720"/>
        <w:jc w:val="both"/>
        <w:textAlignment w:val="baseline"/>
        <w:rPr>
          <w:rFonts w:ascii="GHEA Grapalat" w:eastAsia="Times New Roman" w:hAnsi="GHEA Grapalat" w:cs="Times New Roman"/>
          <w:color w:val="000000" w:themeColor="text1"/>
          <w:sz w:val="24"/>
          <w:szCs w:val="24"/>
          <w:bdr w:val="none" w:sz="0" w:space="0" w:color="auto" w:frame="1"/>
          <w:lang w:val="hy-AM"/>
        </w:rPr>
      </w:pPr>
      <w:r w:rsidRPr="00524606">
        <w:rPr>
          <w:rFonts w:ascii="GHEA Grapalat" w:eastAsia="Times New Roman" w:hAnsi="GHEA Grapalat" w:cs="Times New Roman"/>
          <w:color w:val="000000" w:themeColor="text1"/>
          <w:sz w:val="24"/>
          <w:szCs w:val="24"/>
          <w:bdr w:val="none" w:sz="0" w:space="0" w:color="auto" w:frame="1"/>
          <w:lang w:val="hy-AM"/>
        </w:rPr>
        <w:lastRenderedPageBreak/>
        <w:t>Նախագծի ընդունման կապակցությամբ այլ նորմատիվ իրավական ակտեր ընդունել անհրաժեշտ չէ: Պետական և տեղական ինքնակառավարման մարմինների բյուջեներում կարող են նախատեսվել եկամուտների և ծախսերի ավելացում կամ նվազեցում՝ պայմանավորված օտարվող սեփականության դիմաց օրենքով սահմանված կարգով փոխհատուցում տրամադրելու, օտարման գործընթացի կազմակերպման և իրականացման հետ կապված անհրաժեշտ ծախսերով։</w:t>
      </w:r>
    </w:p>
    <w:p w14:paraId="425F3D4C" w14:textId="2792CC29" w:rsidR="00225DE4" w:rsidRPr="00A31114" w:rsidRDefault="00230A68" w:rsidP="00524606">
      <w:pPr>
        <w:shd w:val="clear" w:color="auto" w:fill="FFFFFF"/>
        <w:spacing w:after="0" w:line="360" w:lineRule="auto"/>
        <w:ind w:left="720"/>
        <w:jc w:val="both"/>
        <w:textAlignment w:val="baseline"/>
        <w:rPr>
          <w:rFonts w:ascii="GHEA Grapalat" w:eastAsia="Times New Roman" w:hAnsi="GHEA Grapalat" w:cs="Calibri"/>
          <w:b/>
          <w:color w:val="000000"/>
          <w:sz w:val="24"/>
          <w:szCs w:val="24"/>
          <w:lang w:val="hy-AM" w:eastAsia="ru-RU"/>
        </w:rPr>
      </w:pPr>
      <w:r w:rsidRPr="00A31114">
        <w:rPr>
          <w:rFonts w:ascii="GHEA Grapalat" w:eastAsia="Times New Roman" w:hAnsi="GHEA Grapalat" w:cs="Calibri"/>
          <w:b/>
          <w:color w:val="000000"/>
          <w:sz w:val="24"/>
          <w:szCs w:val="24"/>
          <w:lang w:val="hy-AM" w:eastAsia="ru-RU"/>
        </w:rPr>
        <w:t>5</w:t>
      </w:r>
      <w:r w:rsidR="00225DE4" w:rsidRPr="00A31114">
        <w:rPr>
          <w:rFonts w:ascii="GHEA Grapalat" w:eastAsia="Times New Roman" w:hAnsi="GHEA Grapalat" w:cs="Calibri"/>
          <w:b/>
          <w:color w:val="000000"/>
          <w:sz w:val="24"/>
          <w:szCs w:val="24"/>
          <w:lang w:val="hy-AM" w:eastAsia="ru-RU"/>
        </w:rPr>
        <w:t>. Նախագծերի մշակման գործընթացում ներգրավված մարմինները կամ անձինք.</w:t>
      </w:r>
    </w:p>
    <w:p w14:paraId="5C47B87D" w14:textId="77777777" w:rsidR="00524606" w:rsidRDefault="00524606" w:rsidP="002A4EAC">
      <w:pPr>
        <w:tabs>
          <w:tab w:val="left" w:pos="709"/>
          <w:tab w:val="left" w:pos="851"/>
          <w:tab w:val="left" w:pos="993"/>
        </w:tabs>
        <w:spacing w:after="0" w:line="360" w:lineRule="auto"/>
        <w:contextualSpacing/>
        <w:jc w:val="both"/>
        <w:rPr>
          <w:rFonts w:ascii="GHEA Grapalat" w:hAnsi="GHEA Grapalat" w:cs="Sylfaen"/>
          <w:sz w:val="24"/>
          <w:szCs w:val="24"/>
          <w:lang w:val="af-ZA"/>
        </w:rPr>
      </w:pPr>
      <w:r>
        <w:rPr>
          <w:rFonts w:ascii="GHEA Grapalat" w:hAnsi="GHEA Grapalat" w:cs="Sylfaen"/>
          <w:sz w:val="24"/>
          <w:szCs w:val="24"/>
          <w:lang w:val="af-ZA"/>
        </w:rPr>
        <w:tab/>
      </w:r>
      <w:r w:rsidR="00230A68" w:rsidRPr="00A31114">
        <w:rPr>
          <w:rFonts w:ascii="GHEA Grapalat" w:hAnsi="GHEA Grapalat" w:cs="Sylfaen"/>
          <w:sz w:val="24"/>
          <w:szCs w:val="24"/>
          <w:lang w:val="af-ZA"/>
        </w:rPr>
        <w:t>Նախագիծը մշակվել է Հայաստանի Հանրապետության տարածքային կառավարման և ենթակառուցվածքների</w:t>
      </w:r>
      <w:r w:rsidR="00E01409">
        <w:rPr>
          <w:rFonts w:ascii="GHEA Grapalat" w:hAnsi="GHEA Grapalat" w:cs="Sylfaen"/>
          <w:sz w:val="24"/>
          <w:szCs w:val="24"/>
          <w:lang w:val="hy-AM"/>
        </w:rPr>
        <w:t xml:space="preserve"> նախարարության </w:t>
      </w:r>
      <w:r w:rsidR="00230A68" w:rsidRPr="00A31114">
        <w:rPr>
          <w:rFonts w:ascii="GHEA Grapalat" w:hAnsi="GHEA Grapalat" w:cs="Sylfaen"/>
          <w:sz w:val="24"/>
          <w:szCs w:val="24"/>
          <w:lang w:val="af-ZA"/>
        </w:rPr>
        <w:t xml:space="preserve"> կողմից:</w:t>
      </w:r>
      <w:bookmarkStart w:id="4" w:name="_heading=h.gjdgxs" w:colFirst="0" w:colLast="0"/>
      <w:bookmarkEnd w:id="4"/>
    </w:p>
    <w:p w14:paraId="234BD0BD" w14:textId="467D68FA" w:rsidR="00230A68" w:rsidRPr="00A31114" w:rsidRDefault="00524606" w:rsidP="002A4EAC">
      <w:pPr>
        <w:tabs>
          <w:tab w:val="left" w:pos="709"/>
          <w:tab w:val="left" w:pos="851"/>
          <w:tab w:val="left" w:pos="993"/>
        </w:tabs>
        <w:spacing w:after="0" w:line="360" w:lineRule="auto"/>
        <w:contextualSpacing/>
        <w:jc w:val="both"/>
        <w:rPr>
          <w:rFonts w:ascii="GHEA Grapalat" w:eastAsia="Times New Roman" w:hAnsi="GHEA Grapalat" w:cs="Calibri"/>
          <w:b/>
          <w:color w:val="000000"/>
          <w:sz w:val="24"/>
          <w:szCs w:val="24"/>
          <w:lang w:val="hy-AM" w:eastAsia="ru-RU"/>
        </w:rPr>
      </w:pPr>
      <w:r>
        <w:rPr>
          <w:rFonts w:ascii="GHEA Grapalat" w:hAnsi="GHEA Grapalat" w:cs="Sylfaen"/>
          <w:sz w:val="24"/>
          <w:szCs w:val="24"/>
          <w:lang w:val="af-ZA"/>
        </w:rPr>
        <w:tab/>
      </w:r>
      <w:r w:rsidR="00230A68" w:rsidRPr="00A31114">
        <w:rPr>
          <w:rFonts w:ascii="GHEA Grapalat" w:eastAsia="Times New Roman" w:hAnsi="GHEA Grapalat" w:cs="Calibri"/>
          <w:b/>
          <w:color w:val="000000"/>
          <w:sz w:val="24"/>
          <w:szCs w:val="24"/>
          <w:lang w:val="hy-AM" w:eastAsia="ru-RU"/>
        </w:rPr>
        <w:t>6. Կապը ռազմավարական փաստաթղթերի հետ.</w:t>
      </w:r>
    </w:p>
    <w:p w14:paraId="08DA6AAF" w14:textId="77777777" w:rsidR="00230A68" w:rsidRPr="00A31114" w:rsidRDefault="00230A68" w:rsidP="00524606">
      <w:pPr>
        <w:spacing w:after="0" w:line="360" w:lineRule="auto"/>
        <w:ind w:firstLine="720"/>
        <w:jc w:val="both"/>
        <w:rPr>
          <w:rFonts w:ascii="GHEA Grapalat" w:hAnsi="GHEA Grapalat"/>
          <w:sz w:val="24"/>
          <w:szCs w:val="24"/>
          <w:lang w:val="hy-AM"/>
        </w:rPr>
      </w:pPr>
      <w:r w:rsidRPr="00A31114">
        <w:rPr>
          <w:rFonts w:ascii="GHEA Grapalat" w:hAnsi="GHEA Grapalat"/>
          <w:sz w:val="24"/>
          <w:szCs w:val="24"/>
          <w:lang w:val="hy-AM"/>
        </w:rPr>
        <w:t>Կապը առկա չէ:</w:t>
      </w:r>
    </w:p>
    <w:p w14:paraId="72FA56A2" w14:textId="77777777" w:rsidR="00230A68" w:rsidRPr="00A31114" w:rsidRDefault="00230A68" w:rsidP="002A4EAC">
      <w:pPr>
        <w:tabs>
          <w:tab w:val="left" w:pos="709"/>
          <w:tab w:val="left" w:pos="851"/>
          <w:tab w:val="left" w:pos="993"/>
        </w:tabs>
        <w:spacing w:after="0" w:line="360" w:lineRule="auto"/>
        <w:contextualSpacing/>
        <w:jc w:val="both"/>
        <w:rPr>
          <w:rFonts w:ascii="GHEA Grapalat" w:eastAsia="Times New Roman" w:hAnsi="GHEA Grapalat" w:cs="Calibri"/>
          <w:b/>
          <w:color w:val="000000"/>
          <w:sz w:val="24"/>
          <w:szCs w:val="24"/>
          <w:lang w:val="hy-AM" w:eastAsia="ru-RU"/>
        </w:rPr>
      </w:pPr>
    </w:p>
    <w:bookmarkEnd w:id="0"/>
    <w:p w14:paraId="39825D13" w14:textId="77777777" w:rsidR="009B5DB8" w:rsidRPr="003C0584" w:rsidRDefault="009B5DB8" w:rsidP="002A4EAC">
      <w:pPr>
        <w:tabs>
          <w:tab w:val="left" w:pos="709"/>
          <w:tab w:val="left" w:pos="851"/>
          <w:tab w:val="left" w:pos="993"/>
        </w:tabs>
        <w:spacing w:after="0"/>
        <w:rPr>
          <w:rFonts w:ascii="GHEA Grapalat" w:hAnsi="GHEA Grapalat"/>
          <w:sz w:val="24"/>
          <w:szCs w:val="24"/>
          <w:lang w:val="hy-AM"/>
        </w:rPr>
      </w:pPr>
    </w:p>
    <w:sectPr w:rsidR="009B5DB8" w:rsidRPr="003C0584" w:rsidSect="00CB7553">
      <w:headerReference w:type="default" r:id="rId8"/>
      <w:footerReference w:type="default" r:id="rId9"/>
      <w:pgSz w:w="12240" w:h="15840"/>
      <w:pgMar w:top="851" w:right="758"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9112" w14:textId="77777777" w:rsidR="003F569B" w:rsidRDefault="003F569B" w:rsidP="00A658BB">
      <w:pPr>
        <w:spacing w:after="0" w:line="240" w:lineRule="auto"/>
      </w:pPr>
      <w:r>
        <w:separator/>
      </w:r>
    </w:p>
  </w:endnote>
  <w:endnote w:type="continuationSeparator" w:id="0">
    <w:p w14:paraId="3456A95F" w14:textId="77777777" w:rsidR="003F569B" w:rsidRDefault="003F569B" w:rsidP="00A65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K Courier">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Noto-Sans-Arm-Sem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732D" w14:textId="4A4EDB40" w:rsidR="002F3EF1" w:rsidRPr="000F441A" w:rsidRDefault="002F3EF1" w:rsidP="00FC5345">
    <w:pPr>
      <w:pBdr>
        <w:top w:val="nil"/>
        <w:left w:val="nil"/>
        <w:bottom w:val="nil"/>
        <w:right w:val="nil"/>
        <w:between w:val="nil"/>
      </w:pBdr>
      <w:tabs>
        <w:tab w:val="center" w:pos="4844"/>
        <w:tab w:val="right" w:pos="9689"/>
      </w:tabs>
      <w:spacing w:after="0" w:line="240" w:lineRule="auto"/>
      <w:rPr>
        <w:rFonts w:ascii="GHEA Grapalat" w:eastAsia="Calibri" w:hAnsi="GHEA Grapalat"/>
        <w:color w:val="000000"/>
      </w:rPr>
    </w:pPr>
    <w:r w:rsidRPr="000F441A">
      <w:rPr>
        <w:rFonts w:ascii="GHEA Grapalat" w:eastAsia="Calibri" w:hAnsi="GHEA Grapalat"/>
        <w:color w:val="000000"/>
      </w:rPr>
      <w:fldChar w:fldCharType="begin"/>
    </w:r>
    <w:r w:rsidRPr="000F441A">
      <w:rPr>
        <w:rFonts w:ascii="GHEA Grapalat" w:eastAsia="Calibri" w:hAnsi="GHEA Grapalat"/>
        <w:color w:val="000000"/>
      </w:rPr>
      <w:instrText>PAGE</w:instrText>
    </w:r>
    <w:r w:rsidRPr="000F441A">
      <w:rPr>
        <w:rFonts w:ascii="GHEA Grapalat" w:eastAsia="Calibri" w:hAnsi="GHEA Grapalat"/>
        <w:color w:val="000000"/>
      </w:rPr>
      <w:fldChar w:fldCharType="separate"/>
    </w:r>
    <w:r w:rsidR="00371252">
      <w:rPr>
        <w:rFonts w:ascii="GHEA Grapalat" w:eastAsia="Calibri" w:hAnsi="GHEA Grapalat"/>
        <w:noProof/>
        <w:color w:val="000000"/>
      </w:rPr>
      <w:t>4</w:t>
    </w:r>
    <w:r w:rsidRPr="000F441A">
      <w:rPr>
        <w:rFonts w:ascii="GHEA Grapalat" w:eastAsia="Calibri" w:hAnsi="GHEA Grapalat"/>
        <w:color w:val="000000"/>
      </w:rPr>
      <w:fldChar w:fldCharType="end"/>
    </w:r>
  </w:p>
  <w:p w14:paraId="00C467A8" w14:textId="77777777" w:rsidR="002F3EF1" w:rsidRDefault="002F3EF1">
    <w:pPr>
      <w:pBdr>
        <w:top w:val="nil"/>
        <w:left w:val="nil"/>
        <w:bottom w:val="nil"/>
        <w:right w:val="nil"/>
        <w:between w:val="nil"/>
      </w:pBdr>
      <w:tabs>
        <w:tab w:val="center" w:pos="4844"/>
        <w:tab w:val="right" w:pos="9689"/>
      </w:tabs>
      <w:spacing w:after="0" w:line="240" w:lineRule="auto"/>
      <w:rPr>
        <w:rFonts w:eastAsia="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6446" w14:textId="77777777" w:rsidR="003F569B" w:rsidRDefault="003F569B" w:rsidP="00A658BB">
      <w:pPr>
        <w:spacing w:after="0" w:line="240" w:lineRule="auto"/>
      </w:pPr>
      <w:r>
        <w:separator/>
      </w:r>
    </w:p>
  </w:footnote>
  <w:footnote w:type="continuationSeparator" w:id="0">
    <w:p w14:paraId="21FF65DB" w14:textId="77777777" w:rsidR="003F569B" w:rsidRDefault="003F569B" w:rsidP="00A65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4B6E9" w14:textId="6BE29E28" w:rsidR="002F3EF1" w:rsidRPr="00FC5345" w:rsidRDefault="002F3EF1" w:rsidP="00FC5345">
    <w:pPr>
      <w:pBdr>
        <w:top w:val="nil"/>
        <w:left w:val="single" w:sz="18" w:space="4" w:color="FF0000"/>
        <w:bottom w:val="nil"/>
        <w:right w:val="nil"/>
        <w:between w:val="nil"/>
      </w:pBdr>
      <w:tabs>
        <w:tab w:val="right" w:pos="10206"/>
      </w:tabs>
      <w:spacing w:after="0"/>
      <w:rPr>
        <w:rFonts w:ascii="GHEA Grapalat" w:eastAsia="GHEA Grapalat" w:hAnsi="GHEA Grapalat" w:cs="GHEA Grapalat"/>
        <w:color w:val="FF0000"/>
        <w:sz w:val="20"/>
        <w:szCs w:val="20"/>
      </w:rPr>
    </w:pPr>
  </w:p>
  <w:p w14:paraId="63C9EE2C" w14:textId="77777777" w:rsidR="002F3EF1" w:rsidRDefault="002F3EF1">
    <w:pPr>
      <w:pBdr>
        <w:top w:val="nil"/>
        <w:left w:val="nil"/>
        <w:bottom w:val="nil"/>
        <w:right w:val="nil"/>
        <w:between w:val="nil"/>
      </w:pBdr>
      <w:tabs>
        <w:tab w:val="center" w:pos="4844"/>
        <w:tab w:val="right" w:pos="9689"/>
      </w:tabs>
      <w:spacing w:after="0" w:line="240" w:lineRule="auto"/>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D0E97"/>
    <w:multiLevelType w:val="hybridMultilevel"/>
    <w:tmpl w:val="401CC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C5F72"/>
    <w:multiLevelType w:val="hybridMultilevel"/>
    <w:tmpl w:val="623022AC"/>
    <w:lvl w:ilvl="0" w:tplc="8004AA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F40129"/>
    <w:multiLevelType w:val="multilevel"/>
    <w:tmpl w:val="67B4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A4960"/>
    <w:multiLevelType w:val="multilevel"/>
    <w:tmpl w:val="3624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8537C"/>
    <w:multiLevelType w:val="multilevel"/>
    <w:tmpl w:val="EE8CF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60C5D"/>
    <w:multiLevelType w:val="hybridMultilevel"/>
    <w:tmpl w:val="1B2271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A8C3065"/>
    <w:multiLevelType w:val="multilevel"/>
    <w:tmpl w:val="9ABA7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8B1D1C"/>
    <w:multiLevelType w:val="multilevel"/>
    <w:tmpl w:val="DE62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D2074"/>
    <w:multiLevelType w:val="hybridMultilevel"/>
    <w:tmpl w:val="988A89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AA21E2B"/>
    <w:multiLevelType w:val="multilevel"/>
    <w:tmpl w:val="30AE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293FA3"/>
    <w:multiLevelType w:val="multilevel"/>
    <w:tmpl w:val="1F5C7C54"/>
    <w:lvl w:ilvl="0">
      <w:start w:val="1"/>
      <w:numFmt w:val="decimal"/>
      <w:lvlText w:val="%1."/>
      <w:lvlJc w:val="left"/>
      <w:pPr>
        <w:ind w:left="180" w:hanging="360"/>
      </w:pPr>
    </w:lvl>
    <w:lvl w:ilvl="1">
      <w:start w:val="6"/>
      <w:numFmt w:val="decimal"/>
      <w:lvlText w:val="%1.%2."/>
      <w:lvlJc w:val="left"/>
      <w:pPr>
        <w:ind w:left="960" w:hanging="1140"/>
      </w:pPr>
      <w:rPr>
        <w:color w:val="000000"/>
      </w:rPr>
    </w:lvl>
    <w:lvl w:ilvl="2">
      <w:start w:val="1"/>
      <w:numFmt w:val="decimal"/>
      <w:lvlText w:val="%1.%2.%3."/>
      <w:lvlJc w:val="left"/>
      <w:pPr>
        <w:ind w:left="960" w:hanging="1140"/>
      </w:pPr>
      <w:rPr>
        <w:color w:val="000000"/>
      </w:rPr>
    </w:lvl>
    <w:lvl w:ilvl="3">
      <w:start w:val="1"/>
      <w:numFmt w:val="decimal"/>
      <w:lvlText w:val="%1.%2.%3.%4."/>
      <w:lvlJc w:val="left"/>
      <w:pPr>
        <w:ind w:left="960" w:hanging="1140"/>
      </w:pPr>
      <w:rPr>
        <w:color w:val="000000"/>
      </w:rPr>
    </w:lvl>
    <w:lvl w:ilvl="4">
      <w:start w:val="1"/>
      <w:numFmt w:val="decimal"/>
      <w:lvlText w:val="%1.%2.%3.%4.%5."/>
      <w:lvlJc w:val="left"/>
      <w:pPr>
        <w:ind w:left="960" w:hanging="1140"/>
      </w:pPr>
      <w:rPr>
        <w:color w:val="000000"/>
      </w:rPr>
    </w:lvl>
    <w:lvl w:ilvl="5">
      <w:start w:val="1"/>
      <w:numFmt w:val="decimal"/>
      <w:lvlText w:val="%1.%2.%3.%4.%5.%6."/>
      <w:lvlJc w:val="left"/>
      <w:pPr>
        <w:ind w:left="1260" w:hanging="1440"/>
      </w:pPr>
      <w:rPr>
        <w:color w:val="000000"/>
      </w:rPr>
    </w:lvl>
    <w:lvl w:ilvl="6">
      <w:start w:val="1"/>
      <w:numFmt w:val="decimal"/>
      <w:lvlText w:val="%1.%2.%3.%4.%5.%6.%7."/>
      <w:lvlJc w:val="left"/>
      <w:pPr>
        <w:ind w:left="1620" w:hanging="1800"/>
      </w:pPr>
      <w:rPr>
        <w:color w:val="000000"/>
      </w:rPr>
    </w:lvl>
    <w:lvl w:ilvl="7">
      <w:start w:val="1"/>
      <w:numFmt w:val="decimal"/>
      <w:lvlText w:val="%1.%2.%3.%4.%5.%6.%7.%8."/>
      <w:lvlJc w:val="left"/>
      <w:pPr>
        <w:ind w:left="1620" w:hanging="1800"/>
      </w:pPr>
      <w:rPr>
        <w:color w:val="000000"/>
      </w:rPr>
    </w:lvl>
    <w:lvl w:ilvl="8">
      <w:start w:val="1"/>
      <w:numFmt w:val="decimal"/>
      <w:lvlText w:val="%1.%2.%3.%4.%5.%6.%7.%8.%9."/>
      <w:lvlJc w:val="left"/>
      <w:pPr>
        <w:ind w:left="1980" w:hanging="2160"/>
      </w:pPr>
      <w:rPr>
        <w:color w:val="000000"/>
      </w:rPr>
    </w:lvl>
  </w:abstractNum>
  <w:abstractNum w:abstractNumId="11" w15:restartNumberingAfterBreak="0">
    <w:nsid w:val="3E2F5BCA"/>
    <w:multiLevelType w:val="hybridMultilevel"/>
    <w:tmpl w:val="C46E4BC4"/>
    <w:lvl w:ilvl="0" w:tplc="8C6EE2F8">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41274328"/>
    <w:multiLevelType w:val="hybridMultilevel"/>
    <w:tmpl w:val="F5EE6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A3576"/>
    <w:multiLevelType w:val="hybridMultilevel"/>
    <w:tmpl w:val="A5D8CC7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6470B7"/>
    <w:multiLevelType w:val="multilevel"/>
    <w:tmpl w:val="C3565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DB71FE"/>
    <w:multiLevelType w:val="hybridMultilevel"/>
    <w:tmpl w:val="F9002DEE"/>
    <w:lvl w:ilvl="0" w:tplc="32AA14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3D90005"/>
    <w:multiLevelType w:val="multilevel"/>
    <w:tmpl w:val="D42A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5E6B8F"/>
    <w:multiLevelType w:val="multilevel"/>
    <w:tmpl w:val="59D6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9E0E09"/>
    <w:multiLevelType w:val="multilevel"/>
    <w:tmpl w:val="30B8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674FBE"/>
    <w:multiLevelType w:val="multilevel"/>
    <w:tmpl w:val="D4647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78278A"/>
    <w:multiLevelType w:val="multilevel"/>
    <w:tmpl w:val="21229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143587"/>
    <w:multiLevelType w:val="multilevel"/>
    <w:tmpl w:val="7F9E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67382A"/>
    <w:multiLevelType w:val="multilevel"/>
    <w:tmpl w:val="C6D6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14777E"/>
    <w:multiLevelType w:val="hybridMultilevel"/>
    <w:tmpl w:val="3AC4B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E70071"/>
    <w:multiLevelType w:val="multilevel"/>
    <w:tmpl w:val="32AE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C677AF"/>
    <w:multiLevelType w:val="multilevel"/>
    <w:tmpl w:val="732CF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86DAB"/>
    <w:multiLevelType w:val="hybridMultilevel"/>
    <w:tmpl w:val="09100A0A"/>
    <w:lvl w:ilvl="0" w:tplc="2586DBA6">
      <w:start w:val="4"/>
      <w:numFmt w:val="decimal"/>
      <w:lvlText w:val="%1."/>
      <w:lvlJc w:val="left"/>
      <w:pPr>
        <w:ind w:left="18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7" w15:restartNumberingAfterBreak="0">
    <w:nsid w:val="7DCA0116"/>
    <w:multiLevelType w:val="multilevel"/>
    <w:tmpl w:val="A3B0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25704B"/>
    <w:multiLevelType w:val="multilevel"/>
    <w:tmpl w:val="9950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8D2293"/>
    <w:multiLevelType w:val="hybridMultilevel"/>
    <w:tmpl w:val="082022D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7FE5471F"/>
    <w:multiLevelType w:val="multilevel"/>
    <w:tmpl w:val="72B4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9"/>
  </w:num>
  <w:num w:numId="3">
    <w:abstractNumId w:val="11"/>
  </w:num>
  <w:num w:numId="4">
    <w:abstractNumId w:val="26"/>
  </w:num>
  <w:num w:numId="5">
    <w:abstractNumId w:val="15"/>
  </w:num>
  <w:num w:numId="6">
    <w:abstractNumId w:val="1"/>
  </w:num>
  <w:num w:numId="7">
    <w:abstractNumId w:val="2"/>
  </w:num>
  <w:num w:numId="8">
    <w:abstractNumId w:val="25"/>
  </w:num>
  <w:num w:numId="9">
    <w:abstractNumId w:val="9"/>
  </w:num>
  <w:num w:numId="10">
    <w:abstractNumId w:val="27"/>
  </w:num>
  <w:num w:numId="11">
    <w:abstractNumId w:val="17"/>
  </w:num>
  <w:num w:numId="12">
    <w:abstractNumId w:val="16"/>
  </w:num>
  <w:num w:numId="13">
    <w:abstractNumId w:val="3"/>
  </w:num>
  <w:num w:numId="14">
    <w:abstractNumId w:val="21"/>
  </w:num>
  <w:num w:numId="15">
    <w:abstractNumId w:val="24"/>
  </w:num>
  <w:num w:numId="16">
    <w:abstractNumId w:val="22"/>
  </w:num>
  <w:num w:numId="17">
    <w:abstractNumId w:val="18"/>
  </w:num>
  <w:num w:numId="18">
    <w:abstractNumId w:val="28"/>
  </w:num>
  <w:num w:numId="19">
    <w:abstractNumId w:val="30"/>
  </w:num>
  <w:num w:numId="20">
    <w:abstractNumId w:val="19"/>
  </w:num>
  <w:num w:numId="21">
    <w:abstractNumId w:val="14"/>
  </w:num>
  <w:num w:numId="22">
    <w:abstractNumId w:val="4"/>
  </w:num>
  <w:num w:numId="23">
    <w:abstractNumId w:val="6"/>
  </w:num>
  <w:num w:numId="24">
    <w:abstractNumId w:val="20"/>
  </w:num>
  <w:num w:numId="25">
    <w:abstractNumId w:val="8"/>
  </w:num>
  <w:num w:numId="26">
    <w:abstractNumId w:val="23"/>
  </w:num>
  <w:num w:numId="27">
    <w:abstractNumId w:val="0"/>
  </w:num>
  <w:num w:numId="28">
    <w:abstractNumId w:val="12"/>
  </w:num>
  <w:num w:numId="29">
    <w:abstractNumId w:val="5"/>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4B2"/>
    <w:rsid w:val="00002AC7"/>
    <w:rsid w:val="000041A3"/>
    <w:rsid w:val="00014D22"/>
    <w:rsid w:val="00021491"/>
    <w:rsid w:val="0003212F"/>
    <w:rsid w:val="00050065"/>
    <w:rsid w:val="0005324B"/>
    <w:rsid w:val="000656F0"/>
    <w:rsid w:val="00077545"/>
    <w:rsid w:val="00080ADB"/>
    <w:rsid w:val="0008281E"/>
    <w:rsid w:val="0009214A"/>
    <w:rsid w:val="00092242"/>
    <w:rsid w:val="000964ED"/>
    <w:rsid w:val="000A5FED"/>
    <w:rsid w:val="000B402A"/>
    <w:rsid w:val="000B7C46"/>
    <w:rsid w:val="000C4152"/>
    <w:rsid w:val="000D4AD3"/>
    <w:rsid w:val="000F104D"/>
    <w:rsid w:val="000F441A"/>
    <w:rsid w:val="001045D7"/>
    <w:rsid w:val="001072D1"/>
    <w:rsid w:val="00111441"/>
    <w:rsid w:val="001230E5"/>
    <w:rsid w:val="00135A1F"/>
    <w:rsid w:val="00144ACC"/>
    <w:rsid w:val="001506F5"/>
    <w:rsid w:val="00177422"/>
    <w:rsid w:val="00194F4C"/>
    <w:rsid w:val="001952FC"/>
    <w:rsid w:val="001A6443"/>
    <w:rsid w:val="001B34B6"/>
    <w:rsid w:val="001B67E1"/>
    <w:rsid w:val="001C51D5"/>
    <w:rsid w:val="001C5961"/>
    <w:rsid w:val="001D2933"/>
    <w:rsid w:val="001E6B07"/>
    <w:rsid w:val="001F3A7E"/>
    <w:rsid w:val="00207DE3"/>
    <w:rsid w:val="00211F1E"/>
    <w:rsid w:val="00225DE4"/>
    <w:rsid w:val="00230A68"/>
    <w:rsid w:val="00237886"/>
    <w:rsid w:val="00240D93"/>
    <w:rsid w:val="0024522B"/>
    <w:rsid w:val="002455FC"/>
    <w:rsid w:val="002502C6"/>
    <w:rsid w:val="00273A14"/>
    <w:rsid w:val="0028563D"/>
    <w:rsid w:val="00287E0D"/>
    <w:rsid w:val="0029626D"/>
    <w:rsid w:val="002A4EAC"/>
    <w:rsid w:val="002A6C9F"/>
    <w:rsid w:val="002B10A6"/>
    <w:rsid w:val="002B190B"/>
    <w:rsid w:val="002B19D0"/>
    <w:rsid w:val="002B5C6B"/>
    <w:rsid w:val="002C5357"/>
    <w:rsid w:val="002F3EF1"/>
    <w:rsid w:val="0030488C"/>
    <w:rsid w:val="0030520C"/>
    <w:rsid w:val="0030793C"/>
    <w:rsid w:val="00315B9C"/>
    <w:rsid w:val="00317F93"/>
    <w:rsid w:val="00324EBF"/>
    <w:rsid w:val="003428A1"/>
    <w:rsid w:val="003446A9"/>
    <w:rsid w:val="0036234C"/>
    <w:rsid w:val="00371252"/>
    <w:rsid w:val="00387018"/>
    <w:rsid w:val="003908B1"/>
    <w:rsid w:val="0039278D"/>
    <w:rsid w:val="003951B9"/>
    <w:rsid w:val="003B5E64"/>
    <w:rsid w:val="003B7A7C"/>
    <w:rsid w:val="003C0584"/>
    <w:rsid w:val="003C1891"/>
    <w:rsid w:val="003C2D9B"/>
    <w:rsid w:val="003C6891"/>
    <w:rsid w:val="003E084F"/>
    <w:rsid w:val="003F2697"/>
    <w:rsid w:val="003F569B"/>
    <w:rsid w:val="004105F2"/>
    <w:rsid w:val="004141C6"/>
    <w:rsid w:val="00424635"/>
    <w:rsid w:val="004304E6"/>
    <w:rsid w:val="00433767"/>
    <w:rsid w:val="004338EE"/>
    <w:rsid w:val="004375A9"/>
    <w:rsid w:val="00437C85"/>
    <w:rsid w:val="00441D0C"/>
    <w:rsid w:val="0045406D"/>
    <w:rsid w:val="004726E1"/>
    <w:rsid w:val="00476966"/>
    <w:rsid w:val="004824FF"/>
    <w:rsid w:val="004A6BEC"/>
    <w:rsid w:val="004B75F4"/>
    <w:rsid w:val="004D62E0"/>
    <w:rsid w:val="004D72BE"/>
    <w:rsid w:val="004E0AF5"/>
    <w:rsid w:val="004E2014"/>
    <w:rsid w:val="00522FC8"/>
    <w:rsid w:val="00523D39"/>
    <w:rsid w:val="00524606"/>
    <w:rsid w:val="005320AF"/>
    <w:rsid w:val="005322C2"/>
    <w:rsid w:val="0053504B"/>
    <w:rsid w:val="00535058"/>
    <w:rsid w:val="00540F81"/>
    <w:rsid w:val="00546F6E"/>
    <w:rsid w:val="0055538F"/>
    <w:rsid w:val="00556985"/>
    <w:rsid w:val="005834B2"/>
    <w:rsid w:val="00583786"/>
    <w:rsid w:val="00585C5B"/>
    <w:rsid w:val="00592CF7"/>
    <w:rsid w:val="005978D3"/>
    <w:rsid w:val="005A01B3"/>
    <w:rsid w:val="005B3B10"/>
    <w:rsid w:val="005B3C66"/>
    <w:rsid w:val="005C5C38"/>
    <w:rsid w:val="005E3F41"/>
    <w:rsid w:val="005F011E"/>
    <w:rsid w:val="00621D13"/>
    <w:rsid w:val="00622A77"/>
    <w:rsid w:val="006324E0"/>
    <w:rsid w:val="006325E3"/>
    <w:rsid w:val="00637E18"/>
    <w:rsid w:val="00646124"/>
    <w:rsid w:val="006634B3"/>
    <w:rsid w:val="00673D25"/>
    <w:rsid w:val="00680DAA"/>
    <w:rsid w:val="00681695"/>
    <w:rsid w:val="00693A5B"/>
    <w:rsid w:val="006A0C38"/>
    <w:rsid w:val="006A20E1"/>
    <w:rsid w:val="006A3F02"/>
    <w:rsid w:val="006C5C70"/>
    <w:rsid w:val="006E3482"/>
    <w:rsid w:val="006F6E5A"/>
    <w:rsid w:val="00705A40"/>
    <w:rsid w:val="00712F84"/>
    <w:rsid w:val="0072696E"/>
    <w:rsid w:val="007322F6"/>
    <w:rsid w:val="00757F4C"/>
    <w:rsid w:val="0076001A"/>
    <w:rsid w:val="00760C72"/>
    <w:rsid w:val="00761697"/>
    <w:rsid w:val="00765A03"/>
    <w:rsid w:val="0076750C"/>
    <w:rsid w:val="00772F47"/>
    <w:rsid w:val="0078615F"/>
    <w:rsid w:val="007A5DA5"/>
    <w:rsid w:val="007B2688"/>
    <w:rsid w:val="007C2F93"/>
    <w:rsid w:val="007C44D2"/>
    <w:rsid w:val="007D59BB"/>
    <w:rsid w:val="007E1233"/>
    <w:rsid w:val="007F27E5"/>
    <w:rsid w:val="007F47F0"/>
    <w:rsid w:val="007F65A6"/>
    <w:rsid w:val="0080185B"/>
    <w:rsid w:val="008031A6"/>
    <w:rsid w:val="0080501D"/>
    <w:rsid w:val="00805FE0"/>
    <w:rsid w:val="0081049D"/>
    <w:rsid w:val="0081495D"/>
    <w:rsid w:val="00842E11"/>
    <w:rsid w:val="00847B6E"/>
    <w:rsid w:val="008573C5"/>
    <w:rsid w:val="00864EF8"/>
    <w:rsid w:val="00894E78"/>
    <w:rsid w:val="0089723A"/>
    <w:rsid w:val="00897B44"/>
    <w:rsid w:val="008A1AEE"/>
    <w:rsid w:val="008C3E8C"/>
    <w:rsid w:val="008D2371"/>
    <w:rsid w:val="008D7652"/>
    <w:rsid w:val="008E0AC0"/>
    <w:rsid w:val="008E190F"/>
    <w:rsid w:val="008F0420"/>
    <w:rsid w:val="008F5C7B"/>
    <w:rsid w:val="008F77DD"/>
    <w:rsid w:val="009216F6"/>
    <w:rsid w:val="00936B15"/>
    <w:rsid w:val="00941DDA"/>
    <w:rsid w:val="00943F02"/>
    <w:rsid w:val="0094407D"/>
    <w:rsid w:val="00946C57"/>
    <w:rsid w:val="00966AA0"/>
    <w:rsid w:val="00971CEA"/>
    <w:rsid w:val="009737A7"/>
    <w:rsid w:val="00980972"/>
    <w:rsid w:val="0098188B"/>
    <w:rsid w:val="009926CD"/>
    <w:rsid w:val="00997348"/>
    <w:rsid w:val="009B5DB8"/>
    <w:rsid w:val="009C2293"/>
    <w:rsid w:val="009C47FA"/>
    <w:rsid w:val="009C778C"/>
    <w:rsid w:val="009E79D0"/>
    <w:rsid w:val="00A03332"/>
    <w:rsid w:val="00A15971"/>
    <w:rsid w:val="00A22588"/>
    <w:rsid w:val="00A25A41"/>
    <w:rsid w:val="00A31114"/>
    <w:rsid w:val="00A40AA0"/>
    <w:rsid w:val="00A51552"/>
    <w:rsid w:val="00A5390A"/>
    <w:rsid w:val="00A54F1A"/>
    <w:rsid w:val="00A555DB"/>
    <w:rsid w:val="00A55F7F"/>
    <w:rsid w:val="00A658BB"/>
    <w:rsid w:val="00A6798B"/>
    <w:rsid w:val="00A71D12"/>
    <w:rsid w:val="00A72F62"/>
    <w:rsid w:val="00AE6C25"/>
    <w:rsid w:val="00AF5CF9"/>
    <w:rsid w:val="00B00469"/>
    <w:rsid w:val="00B171CF"/>
    <w:rsid w:val="00B22691"/>
    <w:rsid w:val="00B40C58"/>
    <w:rsid w:val="00B41A01"/>
    <w:rsid w:val="00B45476"/>
    <w:rsid w:val="00B507B2"/>
    <w:rsid w:val="00B56E13"/>
    <w:rsid w:val="00B63409"/>
    <w:rsid w:val="00B725A3"/>
    <w:rsid w:val="00B83881"/>
    <w:rsid w:val="00B97769"/>
    <w:rsid w:val="00BA3AC4"/>
    <w:rsid w:val="00BA7136"/>
    <w:rsid w:val="00BB215D"/>
    <w:rsid w:val="00BB6648"/>
    <w:rsid w:val="00BC116F"/>
    <w:rsid w:val="00BE24AF"/>
    <w:rsid w:val="00C004F8"/>
    <w:rsid w:val="00C13BD4"/>
    <w:rsid w:val="00C25BCA"/>
    <w:rsid w:val="00C31A76"/>
    <w:rsid w:val="00C4424B"/>
    <w:rsid w:val="00C46CA7"/>
    <w:rsid w:val="00C65B46"/>
    <w:rsid w:val="00C87302"/>
    <w:rsid w:val="00C93E92"/>
    <w:rsid w:val="00CA38D0"/>
    <w:rsid w:val="00CB2405"/>
    <w:rsid w:val="00CB7553"/>
    <w:rsid w:val="00CD011C"/>
    <w:rsid w:val="00CE04E0"/>
    <w:rsid w:val="00CE66CC"/>
    <w:rsid w:val="00CE67DB"/>
    <w:rsid w:val="00D25430"/>
    <w:rsid w:val="00D27677"/>
    <w:rsid w:val="00D31B70"/>
    <w:rsid w:val="00D527D7"/>
    <w:rsid w:val="00D56D4E"/>
    <w:rsid w:val="00D66219"/>
    <w:rsid w:val="00D70CFD"/>
    <w:rsid w:val="00D76176"/>
    <w:rsid w:val="00D8585B"/>
    <w:rsid w:val="00DC7242"/>
    <w:rsid w:val="00DD56B6"/>
    <w:rsid w:val="00DD72AE"/>
    <w:rsid w:val="00DF758A"/>
    <w:rsid w:val="00E01409"/>
    <w:rsid w:val="00E15184"/>
    <w:rsid w:val="00E247E1"/>
    <w:rsid w:val="00E25457"/>
    <w:rsid w:val="00E2741A"/>
    <w:rsid w:val="00E31723"/>
    <w:rsid w:val="00E34A9E"/>
    <w:rsid w:val="00E52344"/>
    <w:rsid w:val="00E64FDC"/>
    <w:rsid w:val="00E74428"/>
    <w:rsid w:val="00E80225"/>
    <w:rsid w:val="00E81CBC"/>
    <w:rsid w:val="00E96542"/>
    <w:rsid w:val="00EC3DAD"/>
    <w:rsid w:val="00EC4590"/>
    <w:rsid w:val="00ED1CC0"/>
    <w:rsid w:val="00EE1439"/>
    <w:rsid w:val="00EE24EF"/>
    <w:rsid w:val="00EE764F"/>
    <w:rsid w:val="00F129E9"/>
    <w:rsid w:val="00F144C8"/>
    <w:rsid w:val="00F17733"/>
    <w:rsid w:val="00F21D0C"/>
    <w:rsid w:val="00F2495B"/>
    <w:rsid w:val="00F261D8"/>
    <w:rsid w:val="00F55AB2"/>
    <w:rsid w:val="00F66F12"/>
    <w:rsid w:val="00F71FC0"/>
    <w:rsid w:val="00F77372"/>
    <w:rsid w:val="00F8123D"/>
    <w:rsid w:val="00F92C49"/>
    <w:rsid w:val="00F96505"/>
    <w:rsid w:val="00FA0FAF"/>
    <w:rsid w:val="00FC5345"/>
    <w:rsid w:val="00FC5EA9"/>
    <w:rsid w:val="00FD7D5C"/>
    <w:rsid w:val="00FE0162"/>
    <w:rsid w:val="00FE1F0A"/>
    <w:rsid w:val="00FF3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C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765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2,Footnote Text Char Char1,Fußnotentext Char Char2 Char1,Char Char1 Char2 Char1,Fußnotentext Char Char Char1 Char1,Char Char1 Char Char1 Char1,Fußnotentext Char Char Char Char Char1,Char Char1 Char Char Char Char1,Fußnot"/>
    <w:basedOn w:val="Normal"/>
    <w:link w:val="FootnoteTextChar"/>
    <w:uiPriority w:val="99"/>
    <w:unhideWhenUsed/>
    <w:rsid w:val="00A658BB"/>
    <w:pPr>
      <w:spacing w:after="0" w:line="240" w:lineRule="auto"/>
    </w:pPr>
    <w:rPr>
      <w:rFonts w:ascii="Calibri" w:eastAsia="Times New Roman" w:hAnsi="Calibri" w:cs="Calibri"/>
      <w:sz w:val="20"/>
      <w:szCs w:val="20"/>
      <w:lang w:val="hy-AM" w:eastAsia="ru-RU"/>
    </w:rPr>
  </w:style>
  <w:style w:type="character" w:customStyle="1" w:styleId="FootnoteTextChar">
    <w:name w:val="Footnote Text Char"/>
    <w:aliases w:val="Footnote Text Char2 Char,Footnote Text Char Char1 Char,Fußnotentext Char Char2 Char1 Char,Char Char1 Char2 Char1 Char,Fußnotentext Char Char Char1 Char1 Char,Char Char1 Char Char1 Char1 Char,Fußnotentext Char Char Char Char Char1 Char"/>
    <w:basedOn w:val="DefaultParagraphFont"/>
    <w:link w:val="FootnoteText"/>
    <w:uiPriority w:val="99"/>
    <w:qFormat/>
    <w:rsid w:val="00A658BB"/>
    <w:rPr>
      <w:rFonts w:ascii="Calibri" w:eastAsia="Times New Roman" w:hAnsi="Calibri" w:cs="Calibri"/>
      <w:sz w:val="20"/>
      <w:szCs w:val="20"/>
      <w:lang w:val="hy-AM" w:eastAsia="ru-RU"/>
    </w:rPr>
  </w:style>
  <w:style w:type="character" w:styleId="FootnoteReference">
    <w:name w:val="footnote reference"/>
    <w:basedOn w:val="DefaultParagraphFont"/>
    <w:uiPriority w:val="99"/>
    <w:unhideWhenUsed/>
    <w:rsid w:val="00A658BB"/>
    <w:rPr>
      <w:vertAlign w:val="superscript"/>
    </w:rPr>
  </w:style>
  <w:style w:type="character" w:customStyle="1" w:styleId="Hyperlink1">
    <w:name w:val="Hyperlink1"/>
    <w:basedOn w:val="DefaultParagraphFont"/>
    <w:uiPriority w:val="99"/>
    <w:unhideWhenUsed/>
    <w:rsid w:val="00A658BB"/>
    <w:rPr>
      <w:color w:val="0000FF"/>
      <w:u w:val="single"/>
    </w:rPr>
  </w:style>
  <w:style w:type="table" w:customStyle="1" w:styleId="TableGrid1">
    <w:name w:val="Table Grid1"/>
    <w:basedOn w:val="TableNormal"/>
    <w:next w:val="TableGrid"/>
    <w:uiPriority w:val="39"/>
    <w:rsid w:val="00A65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58BB"/>
    <w:rPr>
      <w:color w:val="0563C1" w:themeColor="hyperlink"/>
      <w:u w:val="single"/>
    </w:rPr>
  </w:style>
  <w:style w:type="table" w:styleId="TableGrid">
    <w:name w:val="Table Grid"/>
    <w:basedOn w:val="TableNormal"/>
    <w:uiPriority w:val="39"/>
    <w:rsid w:val="00A65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20C"/>
    <w:pPr>
      <w:ind w:left="720"/>
      <w:contextualSpacing/>
    </w:pPr>
  </w:style>
  <w:style w:type="character" w:styleId="CommentReference">
    <w:name w:val="annotation reference"/>
    <w:basedOn w:val="DefaultParagraphFont"/>
    <w:unhideWhenUsed/>
    <w:rsid w:val="00B171CF"/>
    <w:rPr>
      <w:sz w:val="16"/>
      <w:szCs w:val="16"/>
    </w:rPr>
  </w:style>
  <w:style w:type="paragraph" w:styleId="CommentText">
    <w:name w:val="annotation text"/>
    <w:basedOn w:val="Normal"/>
    <w:link w:val="CommentTextChar"/>
    <w:unhideWhenUsed/>
    <w:rsid w:val="00B171CF"/>
    <w:pPr>
      <w:spacing w:line="240" w:lineRule="auto"/>
    </w:pPr>
    <w:rPr>
      <w:sz w:val="20"/>
      <w:szCs w:val="20"/>
    </w:rPr>
  </w:style>
  <w:style w:type="character" w:customStyle="1" w:styleId="CommentTextChar">
    <w:name w:val="Comment Text Char"/>
    <w:basedOn w:val="DefaultParagraphFont"/>
    <w:link w:val="CommentText"/>
    <w:rsid w:val="00B171CF"/>
    <w:rPr>
      <w:sz w:val="20"/>
      <w:szCs w:val="20"/>
    </w:rPr>
  </w:style>
  <w:style w:type="character" w:customStyle="1" w:styleId="UnresolvedMention1">
    <w:name w:val="Unresolved Mention1"/>
    <w:basedOn w:val="DefaultParagraphFont"/>
    <w:uiPriority w:val="99"/>
    <w:semiHidden/>
    <w:unhideWhenUsed/>
    <w:rsid w:val="00637E18"/>
    <w:rPr>
      <w:color w:val="605E5C"/>
      <w:shd w:val="clear" w:color="auto" w:fill="E1DFDD"/>
    </w:rPr>
  </w:style>
  <w:style w:type="paragraph" w:styleId="NormalWeb">
    <w:name w:val="Normal (Web)"/>
    <w:basedOn w:val="Normal"/>
    <w:uiPriority w:val="99"/>
    <w:semiHidden/>
    <w:unhideWhenUsed/>
    <w:rsid w:val="00583786"/>
    <w:rPr>
      <w:rFonts w:ascii="Times New Roman" w:hAnsi="Times New Roman" w:cs="Times New Roman"/>
      <w:sz w:val="24"/>
      <w:szCs w:val="24"/>
    </w:rPr>
  </w:style>
  <w:style w:type="character" w:styleId="Strong">
    <w:name w:val="Strong"/>
    <w:basedOn w:val="DefaultParagraphFont"/>
    <w:uiPriority w:val="22"/>
    <w:qFormat/>
    <w:rsid w:val="003428A1"/>
    <w:rPr>
      <w:b/>
      <w:bCs/>
    </w:rPr>
  </w:style>
  <w:style w:type="character" w:styleId="Emphasis">
    <w:name w:val="Emphasis"/>
    <w:basedOn w:val="DefaultParagraphFont"/>
    <w:uiPriority w:val="20"/>
    <w:qFormat/>
    <w:rsid w:val="00522FC8"/>
    <w:rPr>
      <w:i/>
      <w:iCs/>
    </w:rPr>
  </w:style>
  <w:style w:type="character" w:styleId="FollowedHyperlink">
    <w:name w:val="FollowedHyperlink"/>
    <w:basedOn w:val="DefaultParagraphFont"/>
    <w:uiPriority w:val="99"/>
    <w:semiHidden/>
    <w:unhideWhenUsed/>
    <w:rsid w:val="009E79D0"/>
    <w:rPr>
      <w:color w:val="954F72" w:themeColor="followedHyperlink"/>
      <w:u w:val="single"/>
    </w:rPr>
  </w:style>
  <w:style w:type="character" w:customStyle="1" w:styleId="Heading1Char">
    <w:name w:val="Heading 1 Char"/>
    <w:basedOn w:val="DefaultParagraphFont"/>
    <w:link w:val="Heading1"/>
    <w:uiPriority w:val="9"/>
    <w:rsid w:val="008D7652"/>
    <w:rPr>
      <w:rFonts w:asciiTheme="majorHAnsi" w:eastAsiaTheme="majorEastAsia" w:hAnsiTheme="majorHAnsi" w:cstheme="majorBidi"/>
      <w:color w:val="2E74B5" w:themeColor="accent1" w:themeShade="BF"/>
      <w:sz w:val="32"/>
      <w:szCs w:val="32"/>
    </w:rPr>
  </w:style>
  <w:style w:type="paragraph" w:styleId="CommentSubject">
    <w:name w:val="annotation subject"/>
    <w:basedOn w:val="CommentText"/>
    <w:next w:val="CommentText"/>
    <w:link w:val="CommentSubjectChar"/>
    <w:uiPriority w:val="99"/>
    <w:semiHidden/>
    <w:unhideWhenUsed/>
    <w:rsid w:val="00AF5CF9"/>
    <w:rPr>
      <w:b/>
      <w:bCs/>
    </w:rPr>
  </w:style>
  <w:style w:type="character" w:customStyle="1" w:styleId="CommentSubjectChar">
    <w:name w:val="Comment Subject Char"/>
    <w:basedOn w:val="CommentTextChar"/>
    <w:link w:val="CommentSubject"/>
    <w:uiPriority w:val="99"/>
    <w:semiHidden/>
    <w:rsid w:val="00AF5CF9"/>
    <w:rPr>
      <w:b/>
      <w:bCs/>
      <w:sz w:val="20"/>
      <w:szCs w:val="20"/>
    </w:rPr>
  </w:style>
  <w:style w:type="paragraph" w:styleId="Revision">
    <w:name w:val="Revision"/>
    <w:hidden/>
    <w:uiPriority w:val="99"/>
    <w:semiHidden/>
    <w:rsid w:val="00936B15"/>
    <w:pPr>
      <w:spacing w:after="0" w:line="240" w:lineRule="auto"/>
    </w:pPr>
  </w:style>
  <w:style w:type="paragraph" w:styleId="Header">
    <w:name w:val="header"/>
    <w:basedOn w:val="Normal"/>
    <w:link w:val="HeaderChar"/>
    <w:uiPriority w:val="99"/>
    <w:unhideWhenUsed/>
    <w:rsid w:val="000F441A"/>
    <w:pPr>
      <w:tabs>
        <w:tab w:val="center" w:pos="4677"/>
        <w:tab w:val="right" w:pos="9355"/>
      </w:tabs>
      <w:spacing w:after="0" w:line="240" w:lineRule="auto"/>
    </w:pPr>
  </w:style>
  <w:style w:type="character" w:customStyle="1" w:styleId="HeaderChar">
    <w:name w:val="Header Char"/>
    <w:basedOn w:val="DefaultParagraphFont"/>
    <w:link w:val="Header"/>
    <w:uiPriority w:val="99"/>
    <w:rsid w:val="000F441A"/>
  </w:style>
  <w:style w:type="paragraph" w:styleId="Footer">
    <w:name w:val="footer"/>
    <w:basedOn w:val="Normal"/>
    <w:link w:val="FooterChar"/>
    <w:uiPriority w:val="99"/>
    <w:unhideWhenUsed/>
    <w:rsid w:val="000F441A"/>
    <w:pPr>
      <w:tabs>
        <w:tab w:val="center" w:pos="4677"/>
        <w:tab w:val="right" w:pos="9355"/>
      </w:tabs>
      <w:spacing w:after="0" w:line="240" w:lineRule="auto"/>
    </w:pPr>
  </w:style>
  <w:style w:type="character" w:customStyle="1" w:styleId="FooterChar">
    <w:name w:val="Footer Char"/>
    <w:basedOn w:val="DefaultParagraphFont"/>
    <w:link w:val="Footer"/>
    <w:uiPriority w:val="99"/>
    <w:rsid w:val="000F441A"/>
  </w:style>
  <w:style w:type="paragraph" w:styleId="BalloonText">
    <w:name w:val="Balloon Text"/>
    <w:basedOn w:val="Normal"/>
    <w:link w:val="BalloonTextChar"/>
    <w:uiPriority w:val="99"/>
    <w:semiHidden/>
    <w:unhideWhenUsed/>
    <w:rsid w:val="004375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5A9"/>
    <w:rPr>
      <w:rFonts w:ascii="Segoe UI" w:hAnsi="Segoe UI" w:cs="Segoe UI"/>
      <w:sz w:val="18"/>
      <w:szCs w:val="18"/>
    </w:rPr>
  </w:style>
  <w:style w:type="paragraph" w:customStyle="1" w:styleId="LO-normal">
    <w:name w:val="LO-normal"/>
    <w:qFormat/>
    <w:rsid w:val="00E25457"/>
    <w:rPr>
      <w:rFonts w:ascii="Calibri" w:eastAsia="Calibri" w:hAnsi="Calibri" w:cs="Calibri"/>
      <w:lang w:val="hy"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8850">
      <w:bodyDiv w:val="1"/>
      <w:marLeft w:val="0"/>
      <w:marRight w:val="0"/>
      <w:marTop w:val="0"/>
      <w:marBottom w:val="0"/>
      <w:divBdr>
        <w:top w:val="none" w:sz="0" w:space="0" w:color="auto"/>
        <w:left w:val="none" w:sz="0" w:space="0" w:color="auto"/>
        <w:bottom w:val="none" w:sz="0" w:space="0" w:color="auto"/>
        <w:right w:val="none" w:sz="0" w:space="0" w:color="auto"/>
      </w:divBdr>
    </w:div>
    <w:div w:id="211502573">
      <w:bodyDiv w:val="1"/>
      <w:marLeft w:val="0"/>
      <w:marRight w:val="0"/>
      <w:marTop w:val="0"/>
      <w:marBottom w:val="0"/>
      <w:divBdr>
        <w:top w:val="none" w:sz="0" w:space="0" w:color="auto"/>
        <w:left w:val="none" w:sz="0" w:space="0" w:color="auto"/>
        <w:bottom w:val="none" w:sz="0" w:space="0" w:color="auto"/>
        <w:right w:val="none" w:sz="0" w:space="0" w:color="auto"/>
      </w:divBdr>
    </w:div>
    <w:div w:id="249823942">
      <w:bodyDiv w:val="1"/>
      <w:marLeft w:val="0"/>
      <w:marRight w:val="0"/>
      <w:marTop w:val="0"/>
      <w:marBottom w:val="0"/>
      <w:divBdr>
        <w:top w:val="none" w:sz="0" w:space="0" w:color="auto"/>
        <w:left w:val="none" w:sz="0" w:space="0" w:color="auto"/>
        <w:bottom w:val="none" w:sz="0" w:space="0" w:color="auto"/>
        <w:right w:val="none" w:sz="0" w:space="0" w:color="auto"/>
      </w:divBdr>
    </w:div>
    <w:div w:id="364989897">
      <w:bodyDiv w:val="1"/>
      <w:marLeft w:val="0"/>
      <w:marRight w:val="0"/>
      <w:marTop w:val="0"/>
      <w:marBottom w:val="0"/>
      <w:divBdr>
        <w:top w:val="none" w:sz="0" w:space="0" w:color="auto"/>
        <w:left w:val="none" w:sz="0" w:space="0" w:color="auto"/>
        <w:bottom w:val="none" w:sz="0" w:space="0" w:color="auto"/>
        <w:right w:val="none" w:sz="0" w:space="0" w:color="auto"/>
      </w:divBdr>
    </w:div>
    <w:div w:id="415640254">
      <w:bodyDiv w:val="1"/>
      <w:marLeft w:val="0"/>
      <w:marRight w:val="0"/>
      <w:marTop w:val="0"/>
      <w:marBottom w:val="0"/>
      <w:divBdr>
        <w:top w:val="none" w:sz="0" w:space="0" w:color="auto"/>
        <w:left w:val="none" w:sz="0" w:space="0" w:color="auto"/>
        <w:bottom w:val="none" w:sz="0" w:space="0" w:color="auto"/>
        <w:right w:val="none" w:sz="0" w:space="0" w:color="auto"/>
      </w:divBdr>
    </w:div>
    <w:div w:id="421070423">
      <w:bodyDiv w:val="1"/>
      <w:marLeft w:val="0"/>
      <w:marRight w:val="0"/>
      <w:marTop w:val="0"/>
      <w:marBottom w:val="0"/>
      <w:divBdr>
        <w:top w:val="none" w:sz="0" w:space="0" w:color="auto"/>
        <w:left w:val="none" w:sz="0" w:space="0" w:color="auto"/>
        <w:bottom w:val="none" w:sz="0" w:space="0" w:color="auto"/>
        <w:right w:val="none" w:sz="0" w:space="0" w:color="auto"/>
      </w:divBdr>
    </w:div>
    <w:div w:id="614018110">
      <w:bodyDiv w:val="1"/>
      <w:marLeft w:val="0"/>
      <w:marRight w:val="0"/>
      <w:marTop w:val="0"/>
      <w:marBottom w:val="0"/>
      <w:divBdr>
        <w:top w:val="none" w:sz="0" w:space="0" w:color="auto"/>
        <w:left w:val="none" w:sz="0" w:space="0" w:color="auto"/>
        <w:bottom w:val="none" w:sz="0" w:space="0" w:color="auto"/>
        <w:right w:val="none" w:sz="0" w:space="0" w:color="auto"/>
      </w:divBdr>
    </w:div>
    <w:div w:id="736052488">
      <w:bodyDiv w:val="1"/>
      <w:marLeft w:val="0"/>
      <w:marRight w:val="0"/>
      <w:marTop w:val="0"/>
      <w:marBottom w:val="0"/>
      <w:divBdr>
        <w:top w:val="none" w:sz="0" w:space="0" w:color="auto"/>
        <w:left w:val="none" w:sz="0" w:space="0" w:color="auto"/>
        <w:bottom w:val="none" w:sz="0" w:space="0" w:color="auto"/>
        <w:right w:val="none" w:sz="0" w:space="0" w:color="auto"/>
      </w:divBdr>
    </w:div>
    <w:div w:id="766388438">
      <w:bodyDiv w:val="1"/>
      <w:marLeft w:val="0"/>
      <w:marRight w:val="0"/>
      <w:marTop w:val="0"/>
      <w:marBottom w:val="0"/>
      <w:divBdr>
        <w:top w:val="none" w:sz="0" w:space="0" w:color="auto"/>
        <w:left w:val="none" w:sz="0" w:space="0" w:color="auto"/>
        <w:bottom w:val="none" w:sz="0" w:space="0" w:color="auto"/>
        <w:right w:val="none" w:sz="0" w:space="0" w:color="auto"/>
      </w:divBdr>
    </w:div>
    <w:div w:id="888154207">
      <w:bodyDiv w:val="1"/>
      <w:marLeft w:val="0"/>
      <w:marRight w:val="0"/>
      <w:marTop w:val="0"/>
      <w:marBottom w:val="0"/>
      <w:divBdr>
        <w:top w:val="none" w:sz="0" w:space="0" w:color="auto"/>
        <w:left w:val="none" w:sz="0" w:space="0" w:color="auto"/>
        <w:bottom w:val="none" w:sz="0" w:space="0" w:color="auto"/>
        <w:right w:val="none" w:sz="0" w:space="0" w:color="auto"/>
      </w:divBdr>
    </w:div>
    <w:div w:id="927083233">
      <w:bodyDiv w:val="1"/>
      <w:marLeft w:val="0"/>
      <w:marRight w:val="0"/>
      <w:marTop w:val="0"/>
      <w:marBottom w:val="0"/>
      <w:divBdr>
        <w:top w:val="none" w:sz="0" w:space="0" w:color="auto"/>
        <w:left w:val="none" w:sz="0" w:space="0" w:color="auto"/>
        <w:bottom w:val="none" w:sz="0" w:space="0" w:color="auto"/>
        <w:right w:val="none" w:sz="0" w:space="0" w:color="auto"/>
      </w:divBdr>
    </w:div>
    <w:div w:id="1014772120">
      <w:bodyDiv w:val="1"/>
      <w:marLeft w:val="0"/>
      <w:marRight w:val="0"/>
      <w:marTop w:val="0"/>
      <w:marBottom w:val="0"/>
      <w:divBdr>
        <w:top w:val="none" w:sz="0" w:space="0" w:color="auto"/>
        <w:left w:val="none" w:sz="0" w:space="0" w:color="auto"/>
        <w:bottom w:val="none" w:sz="0" w:space="0" w:color="auto"/>
        <w:right w:val="none" w:sz="0" w:space="0" w:color="auto"/>
      </w:divBdr>
    </w:div>
    <w:div w:id="1026054703">
      <w:bodyDiv w:val="1"/>
      <w:marLeft w:val="0"/>
      <w:marRight w:val="0"/>
      <w:marTop w:val="0"/>
      <w:marBottom w:val="0"/>
      <w:divBdr>
        <w:top w:val="none" w:sz="0" w:space="0" w:color="auto"/>
        <w:left w:val="none" w:sz="0" w:space="0" w:color="auto"/>
        <w:bottom w:val="none" w:sz="0" w:space="0" w:color="auto"/>
        <w:right w:val="none" w:sz="0" w:space="0" w:color="auto"/>
      </w:divBdr>
    </w:div>
    <w:div w:id="1034383486">
      <w:bodyDiv w:val="1"/>
      <w:marLeft w:val="0"/>
      <w:marRight w:val="0"/>
      <w:marTop w:val="0"/>
      <w:marBottom w:val="0"/>
      <w:divBdr>
        <w:top w:val="none" w:sz="0" w:space="0" w:color="auto"/>
        <w:left w:val="none" w:sz="0" w:space="0" w:color="auto"/>
        <w:bottom w:val="none" w:sz="0" w:space="0" w:color="auto"/>
        <w:right w:val="none" w:sz="0" w:space="0" w:color="auto"/>
      </w:divBdr>
    </w:div>
    <w:div w:id="1042367789">
      <w:bodyDiv w:val="1"/>
      <w:marLeft w:val="0"/>
      <w:marRight w:val="0"/>
      <w:marTop w:val="0"/>
      <w:marBottom w:val="0"/>
      <w:divBdr>
        <w:top w:val="none" w:sz="0" w:space="0" w:color="auto"/>
        <w:left w:val="none" w:sz="0" w:space="0" w:color="auto"/>
        <w:bottom w:val="none" w:sz="0" w:space="0" w:color="auto"/>
        <w:right w:val="none" w:sz="0" w:space="0" w:color="auto"/>
      </w:divBdr>
      <w:divsChild>
        <w:div w:id="1545604902">
          <w:marLeft w:val="0"/>
          <w:marRight w:val="0"/>
          <w:marTop w:val="0"/>
          <w:marBottom w:val="0"/>
          <w:divBdr>
            <w:top w:val="none" w:sz="0" w:space="0" w:color="auto"/>
            <w:left w:val="none" w:sz="0" w:space="0" w:color="auto"/>
            <w:bottom w:val="none" w:sz="0" w:space="0" w:color="auto"/>
            <w:right w:val="none" w:sz="0" w:space="0" w:color="auto"/>
          </w:divBdr>
        </w:div>
      </w:divsChild>
    </w:div>
    <w:div w:id="1084690980">
      <w:bodyDiv w:val="1"/>
      <w:marLeft w:val="0"/>
      <w:marRight w:val="0"/>
      <w:marTop w:val="0"/>
      <w:marBottom w:val="0"/>
      <w:divBdr>
        <w:top w:val="none" w:sz="0" w:space="0" w:color="auto"/>
        <w:left w:val="none" w:sz="0" w:space="0" w:color="auto"/>
        <w:bottom w:val="none" w:sz="0" w:space="0" w:color="auto"/>
        <w:right w:val="none" w:sz="0" w:space="0" w:color="auto"/>
      </w:divBdr>
    </w:div>
    <w:div w:id="1191801472">
      <w:bodyDiv w:val="1"/>
      <w:marLeft w:val="0"/>
      <w:marRight w:val="0"/>
      <w:marTop w:val="0"/>
      <w:marBottom w:val="0"/>
      <w:divBdr>
        <w:top w:val="none" w:sz="0" w:space="0" w:color="auto"/>
        <w:left w:val="none" w:sz="0" w:space="0" w:color="auto"/>
        <w:bottom w:val="none" w:sz="0" w:space="0" w:color="auto"/>
        <w:right w:val="none" w:sz="0" w:space="0" w:color="auto"/>
      </w:divBdr>
    </w:div>
    <w:div w:id="1334575763">
      <w:bodyDiv w:val="1"/>
      <w:marLeft w:val="0"/>
      <w:marRight w:val="0"/>
      <w:marTop w:val="0"/>
      <w:marBottom w:val="0"/>
      <w:divBdr>
        <w:top w:val="none" w:sz="0" w:space="0" w:color="auto"/>
        <w:left w:val="none" w:sz="0" w:space="0" w:color="auto"/>
        <w:bottom w:val="none" w:sz="0" w:space="0" w:color="auto"/>
        <w:right w:val="none" w:sz="0" w:space="0" w:color="auto"/>
      </w:divBdr>
    </w:div>
    <w:div w:id="1380009736">
      <w:bodyDiv w:val="1"/>
      <w:marLeft w:val="0"/>
      <w:marRight w:val="0"/>
      <w:marTop w:val="0"/>
      <w:marBottom w:val="0"/>
      <w:divBdr>
        <w:top w:val="none" w:sz="0" w:space="0" w:color="auto"/>
        <w:left w:val="none" w:sz="0" w:space="0" w:color="auto"/>
        <w:bottom w:val="none" w:sz="0" w:space="0" w:color="auto"/>
        <w:right w:val="none" w:sz="0" w:space="0" w:color="auto"/>
      </w:divBdr>
    </w:div>
    <w:div w:id="1428378779">
      <w:bodyDiv w:val="1"/>
      <w:marLeft w:val="0"/>
      <w:marRight w:val="0"/>
      <w:marTop w:val="0"/>
      <w:marBottom w:val="0"/>
      <w:divBdr>
        <w:top w:val="none" w:sz="0" w:space="0" w:color="auto"/>
        <w:left w:val="none" w:sz="0" w:space="0" w:color="auto"/>
        <w:bottom w:val="none" w:sz="0" w:space="0" w:color="auto"/>
        <w:right w:val="none" w:sz="0" w:space="0" w:color="auto"/>
      </w:divBdr>
    </w:div>
    <w:div w:id="1563710449">
      <w:bodyDiv w:val="1"/>
      <w:marLeft w:val="0"/>
      <w:marRight w:val="0"/>
      <w:marTop w:val="0"/>
      <w:marBottom w:val="0"/>
      <w:divBdr>
        <w:top w:val="none" w:sz="0" w:space="0" w:color="auto"/>
        <w:left w:val="none" w:sz="0" w:space="0" w:color="auto"/>
        <w:bottom w:val="none" w:sz="0" w:space="0" w:color="auto"/>
        <w:right w:val="none" w:sz="0" w:space="0" w:color="auto"/>
      </w:divBdr>
      <w:divsChild>
        <w:div w:id="1459685954">
          <w:marLeft w:val="0"/>
          <w:marRight w:val="0"/>
          <w:marTop w:val="0"/>
          <w:marBottom w:val="0"/>
          <w:divBdr>
            <w:top w:val="none" w:sz="0" w:space="0" w:color="auto"/>
            <w:left w:val="none" w:sz="0" w:space="0" w:color="auto"/>
            <w:bottom w:val="none" w:sz="0" w:space="0" w:color="auto"/>
            <w:right w:val="none" w:sz="0" w:space="0" w:color="auto"/>
          </w:divBdr>
        </w:div>
      </w:divsChild>
    </w:div>
    <w:div w:id="1574973272">
      <w:bodyDiv w:val="1"/>
      <w:marLeft w:val="0"/>
      <w:marRight w:val="0"/>
      <w:marTop w:val="0"/>
      <w:marBottom w:val="0"/>
      <w:divBdr>
        <w:top w:val="none" w:sz="0" w:space="0" w:color="auto"/>
        <w:left w:val="none" w:sz="0" w:space="0" w:color="auto"/>
        <w:bottom w:val="none" w:sz="0" w:space="0" w:color="auto"/>
        <w:right w:val="none" w:sz="0" w:space="0" w:color="auto"/>
      </w:divBdr>
    </w:div>
    <w:div w:id="1664506181">
      <w:bodyDiv w:val="1"/>
      <w:marLeft w:val="0"/>
      <w:marRight w:val="0"/>
      <w:marTop w:val="0"/>
      <w:marBottom w:val="0"/>
      <w:divBdr>
        <w:top w:val="none" w:sz="0" w:space="0" w:color="auto"/>
        <w:left w:val="none" w:sz="0" w:space="0" w:color="auto"/>
        <w:bottom w:val="none" w:sz="0" w:space="0" w:color="auto"/>
        <w:right w:val="none" w:sz="0" w:space="0" w:color="auto"/>
      </w:divBdr>
    </w:div>
    <w:div w:id="1702781963">
      <w:bodyDiv w:val="1"/>
      <w:marLeft w:val="0"/>
      <w:marRight w:val="0"/>
      <w:marTop w:val="0"/>
      <w:marBottom w:val="0"/>
      <w:divBdr>
        <w:top w:val="none" w:sz="0" w:space="0" w:color="auto"/>
        <w:left w:val="none" w:sz="0" w:space="0" w:color="auto"/>
        <w:bottom w:val="none" w:sz="0" w:space="0" w:color="auto"/>
        <w:right w:val="none" w:sz="0" w:space="0" w:color="auto"/>
      </w:divBdr>
    </w:div>
    <w:div w:id="1713075053">
      <w:bodyDiv w:val="1"/>
      <w:marLeft w:val="0"/>
      <w:marRight w:val="0"/>
      <w:marTop w:val="0"/>
      <w:marBottom w:val="0"/>
      <w:divBdr>
        <w:top w:val="none" w:sz="0" w:space="0" w:color="auto"/>
        <w:left w:val="none" w:sz="0" w:space="0" w:color="auto"/>
        <w:bottom w:val="none" w:sz="0" w:space="0" w:color="auto"/>
        <w:right w:val="none" w:sz="0" w:space="0" w:color="auto"/>
      </w:divBdr>
    </w:div>
    <w:div w:id="1827889882">
      <w:bodyDiv w:val="1"/>
      <w:marLeft w:val="0"/>
      <w:marRight w:val="0"/>
      <w:marTop w:val="0"/>
      <w:marBottom w:val="0"/>
      <w:divBdr>
        <w:top w:val="none" w:sz="0" w:space="0" w:color="auto"/>
        <w:left w:val="none" w:sz="0" w:space="0" w:color="auto"/>
        <w:bottom w:val="none" w:sz="0" w:space="0" w:color="auto"/>
        <w:right w:val="none" w:sz="0" w:space="0" w:color="auto"/>
      </w:divBdr>
    </w:div>
    <w:div w:id="1843156961">
      <w:bodyDiv w:val="1"/>
      <w:marLeft w:val="0"/>
      <w:marRight w:val="0"/>
      <w:marTop w:val="0"/>
      <w:marBottom w:val="0"/>
      <w:divBdr>
        <w:top w:val="none" w:sz="0" w:space="0" w:color="auto"/>
        <w:left w:val="none" w:sz="0" w:space="0" w:color="auto"/>
        <w:bottom w:val="none" w:sz="0" w:space="0" w:color="auto"/>
        <w:right w:val="none" w:sz="0" w:space="0" w:color="auto"/>
      </w:divBdr>
    </w:div>
    <w:div w:id="2023630091">
      <w:bodyDiv w:val="1"/>
      <w:marLeft w:val="0"/>
      <w:marRight w:val="0"/>
      <w:marTop w:val="0"/>
      <w:marBottom w:val="0"/>
      <w:divBdr>
        <w:top w:val="none" w:sz="0" w:space="0" w:color="auto"/>
        <w:left w:val="none" w:sz="0" w:space="0" w:color="auto"/>
        <w:bottom w:val="none" w:sz="0" w:space="0" w:color="auto"/>
        <w:right w:val="none" w:sz="0" w:space="0" w:color="auto"/>
      </w:divBdr>
      <w:divsChild>
        <w:div w:id="1757290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4E297-B971-4173-B174-AAC16623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2026-09-06T11:24:00Z</dcterms:created>
  <dcterms:modified xsi:type="dcterms:W3CDTF">2026-09-09T11:00:00Z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cb56f5a7-288b-440d-9c30-e8e2870a6f12</vt:lpwstr>
  </property>
</Properties>
</file>